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沈阳市儿童福利院2026年物业管理项目招标公告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辽宁省 / 沈阳市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1,648,000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沈阳市儿童福利院（沈阳孤残儿童特殊教育学校、沈阳市未成年人救助保护中心）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赵刚、林枫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的拖把清洁，污染严重时局部清洁，每月对地胶板地面进行打蜡处理。3乳胶漆内墙有污渍时用半干布擦拭。4铝板外墙定期专业清洗。3.5绿化服务序号服务内容服务标准1基本要求（1）制定绿化服务的工作制度及工作计划，并按照执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本标讯为辽宁省 / 沈阳市幕墙清洗类项目，招标单位为 沈阳市儿童福利院（沈阳孤残儿童特殊教育学校、沈阳市未成年人救助保护中心）；预算/金额约 1,648,000 元。报名截止时间为 2026-11-05 09:00，预计开标时间为 2026-11-05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辽宁省 / 沈阳市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1,648,000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1,648,000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