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rFonts w:ascii="Times New Roman" w:hAnsi="Times New Roman" w:eastAsia="微软雅黑"/>
          <w:b/>
          <w:color w:val="C0392B"/>
          <w:sz w:val="40"/>
        </w:rPr>
        <w:t>上海云璟万象天地2026-2029年度石材养护-上海云璟万象天地2026-2029年度石材养护采购公告</w:t>
      </w:r>
    </w:p>
    <w:p>
      <w:pPr>
        <w:jc w:val="center"/>
      </w:pPr>
      <w:r>
        <w:rPr>
          <w:rFonts w:ascii="Times New Roman" w:hAnsi="Times New Roman" w:eastAsia="宋体"/>
          <w:color w:val="198754"/>
          <w:sz w:val="22"/>
        </w:rPr>
        <w:t>【报名中】</w:t>
      </w:r>
    </w:p>
    <w:p>
      <w:pPr>
        <w:spacing w:before="280" w:after="120"/>
      </w:pPr>
      <w:r>
        <w:rPr>
          <w:rFonts w:ascii="Times New Roman" w:hAnsi="Times New Roman" w:eastAsia="微软雅黑"/>
          <w:b/>
          <w:color w:val="FE4C4C"/>
          <w:sz w:val="28"/>
        </w:rPr>
        <w:t>▍项目概要</w:t>
      </w:r>
    </w:p>
    <w:tbl>
      <w:tblPr>
        <w:tblStyle w:val="TableGrid"/>
        <w:tblW w:type="auto" w:w="0"/>
        <w:tblLook w:firstColumn="1" w:firstRow="1" w:lastColumn="0" w:lastRow="0" w:noHBand="0" w:noVBand="1" w:val="04A0"/>
      </w:tblPr>
      <w:tblGrid>
        <w:gridCol w:w="4759"/>
        <w:gridCol w:w="4759"/>
      </w:tblGrid>
      <w:tr>
        <w:tc>
          <w:tcPr>
            <w:tcW w:type="dxa" w:w="3118"/>
          </w:tcPr>
          <w:p>
            <w:r>
              <w:rPr>
                <w:rFonts w:ascii="Times New Roman" w:hAnsi="Times New Roman" w:eastAsia="宋体"/>
                <w:b/>
              </w:rPr>
              <w:t>地区</w:t>
            </w:r>
          </w:p>
        </w:tc>
        <w:tc>
          <w:tcPr>
            <w:tcW w:type="dxa" w:w="5953"/>
          </w:tcPr>
          <w:p>
            <w:r>
              <w:rPr>
                <w:rFonts w:ascii="Times New Roman" w:hAnsi="Times New Roman" w:eastAsia="宋体"/>
              </w:rPr>
              <w:t>上海市</w:t>
            </w:r>
          </w:p>
        </w:tc>
      </w:tr>
      <w:tr>
        <w:tc>
          <w:tcPr>
            <w:tcW w:type="dxa" w:w="3118"/>
          </w:tcPr>
          <w:p>
            <w:r>
              <w:rPr>
                <w:rFonts w:ascii="Times New Roman" w:hAnsi="Times New Roman" w:eastAsia="宋体"/>
                <w:b/>
              </w:rPr>
              <w:t>项目类型</w:t>
            </w:r>
          </w:p>
        </w:tc>
        <w:tc>
          <w:tcPr>
            <w:tcW w:type="dxa" w:w="5953"/>
          </w:tcPr>
          <w:p>
            <w:r>
              <w:rPr>
                <w:rFonts w:ascii="Times New Roman" w:hAnsi="Times New Roman" w:eastAsia="宋体"/>
              </w:rPr>
              <w:t>石材翻新养护</w:t>
            </w:r>
          </w:p>
        </w:tc>
      </w:tr>
      <w:tr>
        <w:tc>
          <w:tcPr>
            <w:tcW w:type="dxa" w:w="3118"/>
          </w:tcPr>
          <w:p>
            <w:r>
              <w:rPr>
                <w:rFonts w:ascii="Times New Roman" w:hAnsi="Times New Roman" w:eastAsia="宋体"/>
                <w:b/>
              </w:rPr>
              <w:t>预算金额</w:t>
            </w:r>
          </w:p>
        </w:tc>
        <w:tc>
          <w:tcPr>
            <w:tcW w:type="dxa" w:w="5953"/>
          </w:tcPr>
          <w:p>
            <w:r>
              <w:rPr>
                <w:rFonts w:ascii="Times New Roman" w:hAnsi="Times New Roman" w:eastAsia="宋体"/>
              </w:rPr>
              <w:t>公开公告未披露</w:t>
            </w:r>
          </w:p>
        </w:tc>
      </w:tr>
      <w:tr>
        <w:tc>
          <w:tcPr>
            <w:tcW w:type="dxa" w:w="3118"/>
          </w:tcPr>
          <w:p>
            <w:r>
              <w:rPr>
                <w:rFonts w:ascii="Times New Roman" w:hAnsi="Times New Roman" w:eastAsia="宋体"/>
                <w:b/>
              </w:rPr>
              <w:t>招标单位</w:t>
            </w:r>
          </w:p>
        </w:tc>
        <w:tc>
          <w:tcPr>
            <w:tcW w:type="dxa" w:w="5953"/>
          </w:tcPr>
          <w:p>
            <w:r>
              <w:rPr>
                <w:rFonts w:ascii="Times New Roman" w:hAnsi="Times New Roman" w:eastAsia="宋体"/>
              </w:rPr>
              <w:t>上海浦开璟昇商业有限公司</w:t>
            </w:r>
          </w:p>
        </w:tc>
      </w:tr>
      <w:tr>
        <w:tc>
          <w:tcPr>
            <w:tcW w:type="dxa" w:w="3118"/>
          </w:tcPr>
          <w:p>
            <w:r>
              <w:rPr>
                <w:rFonts w:ascii="Times New Roman" w:hAnsi="Times New Roman" w:eastAsia="宋体"/>
                <w:b/>
              </w:rPr>
              <w:t>发标日期</w:t>
            </w:r>
          </w:p>
        </w:tc>
        <w:tc>
          <w:tcPr>
            <w:tcW w:type="dxa" w:w="5953"/>
          </w:tcPr>
          <w:p>
            <w:r>
              <w:rPr>
                <w:rFonts w:ascii="Times New Roman" w:hAnsi="Times New Roman" w:eastAsia="宋体"/>
              </w:rPr>
              <w:t>2026-10-08</w:t>
            </w:r>
          </w:p>
        </w:tc>
      </w:tr>
      <w:tr>
        <w:tc>
          <w:tcPr>
            <w:tcW w:type="dxa" w:w="3118"/>
          </w:tcPr>
          <w:p>
            <w:r>
              <w:rPr>
                <w:rFonts w:ascii="Times New Roman" w:hAnsi="Times New Roman" w:eastAsia="宋体"/>
                <w:b/>
              </w:rPr>
              <w:t>报名截止</w:t>
            </w:r>
          </w:p>
        </w:tc>
        <w:tc>
          <w:tcPr>
            <w:tcW w:type="dxa" w:w="5953"/>
          </w:tcPr>
          <w:p>
            <w:r>
              <w:rPr>
                <w:rFonts w:ascii="Times New Roman" w:hAnsi="Times New Roman" w:eastAsia="宋体"/>
              </w:rPr>
              <w:t>2026-10-30 15:00</w:t>
            </w:r>
          </w:p>
        </w:tc>
      </w:tr>
      <w:tr>
        <w:tc>
          <w:tcPr>
            <w:tcW w:type="dxa" w:w="3118"/>
          </w:tcPr>
          <w:p>
            <w:r>
              <w:rPr>
                <w:rFonts w:ascii="Times New Roman" w:hAnsi="Times New Roman" w:eastAsia="宋体"/>
                <w:b/>
              </w:rPr>
              <w:t>开标日期</w:t>
            </w:r>
          </w:p>
        </w:tc>
        <w:tc>
          <w:tcPr>
            <w:tcW w:type="dxa" w:w="5953"/>
          </w:tcPr>
          <w:p>
            <w:r>
              <w:rPr>
                <w:rFonts w:ascii="Times New Roman" w:hAnsi="Times New Roman" w:eastAsia="宋体"/>
              </w:rPr>
              <w:t>2026-10-30 15:00</w:t>
            </w:r>
          </w:p>
        </w:tc>
      </w:tr>
      <w:tr>
        <w:tc>
          <w:tcPr>
            <w:tcW w:type="dxa" w:w="3118"/>
          </w:tcPr>
          <w:p>
            <w:r>
              <w:rPr>
                <w:rFonts w:ascii="Times New Roman" w:hAnsi="Times New Roman" w:eastAsia="宋体"/>
                <w:b/>
              </w:rPr>
              <w:t>联系人</w:t>
            </w:r>
          </w:p>
        </w:tc>
        <w:tc>
          <w:tcPr>
            <w:tcW w:type="dxa" w:w="5953"/>
          </w:tcPr>
          <w:p>
            <w:r>
              <w:rPr>
                <w:rFonts w:ascii="Times New Roman" w:hAnsi="Times New Roman" w:eastAsia="宋体"/>
              </w:rPr>
              <w:t>谢志龙 / 19168125975</w:t>
            </w:r>
          </w:p>
        </w:tc>
      </w:tr>
    </w:tbl>
    <w:p>
      <w:pPr>
        <w:spacing w:before="280" w:after="120"/>
      </w:pPr>
      <w:r>
        <w:rPr>
          <w:rFonts w:ascii="Times New Roman" w:hAnsi="Times New Roman" w:eastAsia="微软雅黑"/>
          <w:b/>
          <w:color w:val="FE4C4C"/>
          <w:sz w:val="28"/>
        </w:rPr>
        <w:t>▍项目概况（据原文公告）</w:t>
      </w:r>
    </w:p>
    <w:p>
      <w:r>
        <w:t>规模：1．招标内容：本项目拟采购一家供应商提供云璟万象天地项目管辖区域内室内石材养护，工作内容包括但不限于包括石材周期性养护(石材结品、打蜡、污渍处理、补胶填缝、局部翻新)、专项养护(石材浅翻新、防扩处理、病变治理)等，其中高磨损区：3~4次/月，前场地面、主出入口(高人流密集区)、客梯轿厢及电梯厅侯梯前室(含地库电梯厅)、各扶梯前区域、各楼层卫生间及通道;普通区域:2次/月;含免费浅翻，如光泽度达不到约定要求须免费增加频次。养护面积为 24467m2，详见服务需求书。</w:t>
      </w:r>
    </w:p>
    <w:p>
      <w:pPr>
        <w:spacing w:before="280" w:after="120"/>
      </w:pPr>
      <w:r>
        <w:rPr>
          <w:rFonts w:ascii="Times New Roman" w:hAnsi="Times New Roman" w:eastAsia="微软雅黑"/>
          <w:b/>
          <w:color w:val="FE4C4C"/>
          <w:sz w:val="28"/>
        </w:rPr>
        <w:t>▍概述与投标指南</w:t>
      </w:r>
    </w:p>
    <w:p>
      <w:pPr>
        <w:spacing w:before="160" w:after="120"/>
      </w:pPr>
      <w:r>
        <w:rPr>
          <w:rFonts w:ascii="Times New Roman" w:hAnsi="Times New Roman" w:eastAsia="微软雅黑"/>
          <w:b/>
          <w:color w:val="333333"/>
          <w:sz w:val="24"/>
        </w:rPr>
        <w:t>项目摘要</w:t>
      </w:r>
    </w:p>
    <w:p>
      <w:r>
        <w:t>本标讯为上海市石材翻新养护类项目，招标单位为 上海浦开璟昇商业有限公司。报名截止时间为 2026-10-30 15:00，预计开标时间为 2026-10-30 15:00，建议投标方重点核对高空作业资质、人员保险、安全施工方案及业绩案例要求，并在原公告渠道下载正式招标文件。</w:t>
      </w:r>
    </w:p>
    <w:p>
      <w:pPr>
        <w:spacing w:before="160" w:after="120"/>
      </w:pPr>
      <w:r>
        <w:rPr>
          <w:rFonts w:ascii="Times New Roman" w:hAnsi="Times New Roman" w:eastAsia="微软雅黑"/>
          <w:b/>
          <w:color w:val="333333"/>
          <w:sz w:val="24"/>
        </w:rPr>
        <w:t>历年投标透视表</w:t>
      </w:r>
    </w:p>
    <w:tbl>
      <w:tblPr>
        <w:tblStyle w:val="TableGrid"/>
        <w:tblW w:type="auto" w:w="0"/>
        <w:tblLook w:firstColumn="1" w:firstRow="1" w:lastColumn="0" w:lastRow="0" w:noHBand="0" w:noVBand="1" w:val="04A0"/>
      </w:tblPr>
      <w:tblGrid>
        <w:gridCol w:w="4759"/>
        <w:gridCol w:w="4759"/>
      </w:tblGrid>
      <w:tr>
        <w:tc>
          <w:tcPr>
            <w:tcW w:type="dxa" w:w="2551"/>
          </w:tcPr>
          <w:p>
            <w:r>
              <w:rPr>
                <w:rFonts w:ascii="Times New Roman" w:hAnsi="Times New Roman" w:eastAsia="宋体"/>
                <w:b/>
              </w:rPr>
              <w:t>项目类型</w:t>
            </w:r>
          </w:p>
        </w:tc>
        <w:tc>
          <w:tcPr>
            <w:tcW w:type="dxa" w:w="6520"/>
          </w:tcPr>
          <w:p>
            <w:r>
              <w:rPr>
                <w:rFonts w:ascii="Times New Roman" w:hAnsi="Times New Roman" w:eastAsia="宋体"/>
              </w:rPr>
              <w:t>石材翻新养护</w:t>
            </w:r>
          </w:p>
        </w:tc>
      </w:tr>
      <w:tr>
        <w:tc>
          <w:tcPr>
            <w:tcW w:type="dxa" w:w="2551"/>
          </w:tcPr>
          <w:p>
            <w:r>
              <w:rPr>
                <w:rFonts w:ascii="Times New Roman" w:hAnsi="Times New Roman" w:eastAsia="宋体"/>
                <w:b/>
              </w:rPr>
              <w:t>地区</w:t>
            </w:r>
          </w:p>
        </w:tc>
        <w:tc>
          <w:tcPr>
            <w:tcW w:type="dxa" w:w="6520"/>
          </w:tcPr>
          <w:p>
            <w:r>
              <w:rPr>
                <w:rFonts w:ascii="Times New Roman" w:hAnsi="Times New Roman" w:eastAsia="宋体"/>
              </w:rPr>
              <w:t>上海市</w:t>
            </w:r>
          </w:p>
        </w:tc>
      </w:tr>
      <w:tr>
        <w:tc>
          <w:tcPr>
            <w:tcW w:type="dxa" w:w="2551"/>
          </w:tcPr>
          <w:p>
            <w:r>
              <w:rPr>
                <w:rFonts w:ascii="Times New Roman" w:hAnsi="Times New Roman" w:eastAsia="宋体"/>
                <w:b/>
              </w:rPr>
              <w:t>预算/金额</w:t>
            </w:r>
          </w:p>
        </w:tc>
        <w:tc>
          <w:tcPr>
            <w:tcW w:type="dxa" w:w="6520"/>
          </w:tcPr>
          <w:p>
            <w:r>
              <w:rPr>
                <w:rFonts w:ascii="Times New Roman" w:hAnsi="Times New Roman" w:eastAsia="宋体"/>
              </w:rPr>
              <w:t>公开公告未披露</w:t>
            </w:r>
          </w:p>
        </w:tc>
      </w:tr>
      <w:tr>
        <w:tc>
          <w:tcPr>
            <w:tcW w:type="dxa" w:w="2551"/>
          </w:tcPr>
          <w:p>
            <w:r>
              <w:rPr>
                <w:rFonts w:ascii="Times New Roman" w:hAnsi="Times New Roman" w:eastAsia="宋体"/>
                <w:b/>
              </w:rPr>
              <w:t>竞争特征</w:t>
            </w:r>
          </w:p>
        </w:tc>
        <w:tc>
          <w:tcPr>
            <w:tcW w:type="dxa" w:w="6520"/>
          </w:tcPr>
          <w:p>
            <w:r>
              <w:rPr>
                <w:rFonts w:ascii="Times New Roman" w:hAnsi="Times New Roman" w:eastAsia="宋体"/>
              </w:rPr>
              <w:t>公开竞争，价格分与安全/技术分并重</w:t>
            </w:r>
          </w:p>
        </w:tc>
      </w:tr>
      <w:tr>
        <w:tc>
          <w:tcPr>
            <w:tcW w:type="dxa" w:w="2551"/>
          </w:tcPr>
          <w:p>
            <w:r>
              <w:rPr>
                <w:rFonts w:ascii="Times New Roman" w:hAnsi="Times New Roman" w:eastAsia="宋体"/>
                <w:b/>
              </w:rPr>
              <w:t>核心资质</w:t>
            </w:r>
          </w:p>
        </w:tc>
        <w:tc>
          <w:tcPr>
            <w:tcW w:type="dxa" w:w="6520"/>
          </w:tcPr>
          <w:p>
            <w:r>
              <w:rPr>
                <w:rFonts w:ascii="Times New Roman" w:hAnsi="Times New Roman" w:eastAsia="宋体"/>
              </w:rPr>
              <w:t>营业执照、高空作业资质、人员特种作业证、意外险/雇主责任险</w:t>
            </w:r>
          </w:p>
        </w:tc>
      </w:tr>
      <w:tr>
        <w:tc>
          <w:tcPr>
            <w:tcW w:type="dxa" w:w="2551"/>
          </w:tcPr>
          <w:p>
            <w:r>
              <w:rPr>
                <w:rFonts w:ascii="Times New Roman" w:hAnsi="Times New Roman" w:eastAsia="宋体"/>
                <w:b/>
              </w:rPr>
              <w:t>常见评分维度</w:t>
            </w:r>
          </w:p>
        </w:tc>
        <w:tc>
          <w:tcPr>
            <w:tcW w:type="dxa" w:w="6520"/>
          </w:tcPr>
          <w:p>
            <w:r>
              <w:rPr>
                <w:rFonts w:ascii="Times New Roman" w:hAnsi="Times New Roman" w:eastAsia="宋体"/>
              </w:rPr>
              <w:t>报价合理性（30%-50%）、技术方案（30%-40%）、业绩与资质（20%-30%）</w:t>
            </w:r>
          </w:p>
        </w:tc>
      </w:tr>
      <w:tr>
        <w:tc>
          <w:tcPr>
            <w:tcW w:type="dxa" w:w="2551"/>
          </w:tcPr>
          <w:p>
            <w:r>
              <w:rPr>
                <w:rFonts w:ascii="Times New Roman" w:hAnsi="Times New Roman" w:eastAsia="宋体"/>
                <w:b/>
              </w:rPr>
              <w:t>投标风险提示</w:t>
            </w:r>
          </w:p>
        </w:tc>
        <w:tc>
          <w:tcPr>
            <w:tcW w:type="dxa" w:w="6520"/>
          </w:tcPr>
          <w:p>
            <w:r>
              <w:rPr>
                <w:rFonts w:ascii="Times New Roman" w:hAnsi="Times New Roman" w:eastAsia="宋体"/>
              </w:rPr>
              <w:t>务必以官方原文为准，核实报名截止、保证金缴纳及文件澄清方式</w:t>
            </w:r>
          </w:p>
        </w:tc>
      </w:tr>
      <w:tr>
        <w:tc>
          <w:tcPr>
            <w:tcW w:type="dxa" w:w="2551"/>
          </w:tcPr>
          <w:p>
            <w:r>
              <w:rPr>
                <w:rFonts w:ascii="Times New Roman" w:hAnsi="Times New Roman" w:eastAsia="宋体"/>
                <w:b/>
              </w:rPr>
              <w:t>行业透视</w:t>
            </w:r>
          </w:p>
        </w:tc>
        <w:tc>
          <w:tcPr>
            <w:tcW w:type="dxa" w:w="6520"/>
          </w:tcPr>
          <w:p>
            <w:r>
              <w:rPr>
                <w:rFonts w:ascii="Times New Roman" w:hAnsi="Times New Roman" w:eastAsia="宋体"/>
              </w:rPr>
              <w:t>对药剂品牌、结晶工艺、光泽度验收标准较敏感，常要求提供小样或工艺说明。</w:t>
            </w:r>
          </w:p>
        </w:tc>
      </w:tr>
    </w:tbl>
    <w:p>
      <w:pPr>
        <w:spacing w:before="160" w:after="120"/>
      </w:pPr>
      <w:r>
        <w:rPr>
          <w:rFonts w:ascii="Times New Roman" w:hAnsi="Times New Roman" w:eastAsia="微软雅黑"/>
          <w:b/>
          <w:color w:val="333333"/>
          <w:sz w:val="24"/>
        </w:rPr>
        <w:t>投标核心策略建议</w:t>
      </w:r>
    </w:p>
    <w:p>
      <w:pPr>
        <w:ind w:left="283"/>
      </w:pPr>
      <w:r>
        <w:rPr>
          <w:rFonts w:ascii="Times New Roman" w:hAnsi="Times New Roman" w:eastAsia="宋体"/>
          <w:sz w:val="21"/>
        </w:rPr>
        <w:t>1. 资格预审：确认营业执照经营范围、高空作业资质、安全生产许可证、特种作业人员证书及有效期。</w:t>
      </w:r>
    </w:p>
    <w:p>
      <w:pPr>
        <w:ind w:left="283"/>
      </w:pPr>
      <w:r>
        <w:rPr>
          <w:rFonts w:ascii="Times New Roman" w:hAnsi="Times New Roman" w:eastAsia="宋体"/>
          <w:sz w:val="21"/>
        </w:rPr>
        <w:t>2. 保险覆盖：投保高空作业意外险/雇主责任险，保额建议不低于 100 万/人，并在投标文件中附保单或承诺函。</w:t>
      </w:r>
    </w:p>
    <w:p>
      <w:pPr>
        <w:ind w:left="283"/>
      </w:pPr>
      <w:r>
        <w:rPr>
          <w:rFonts w:ascii="Times New Roman" w:hAnsi="Times New Roman" w:eastAsia="宋体"/>
          <w:sz w:val="21"/>
        </w:rPr>
        <w:t>3. 安全方案：编制专项高空作业方案，明确吊篮/蜘蛛人/无人机/升降平台选型、双绳系统、锚点检测及应急预案。</w:t>
      </w:r>
    </w:p>
    <w:p>
      <w:pPr>
        <w:ind w:left="283"/>
      </w:pPr>
      <w:r>
        <w:rPr>
          <w:rFonts w:ascii="Times New Roman" w:hAnsi="Times New Roman" w:eastAsia="宋体"/>
          <w:sz w:val="21"/>
        </w:rPr>
        <w:t>4. 业绩证明：优先提供同类型、同高度、同材质项目的合同或验收证明，增强技术评分竞争力。</w:t>
      </w:r>
    </w:p>
    <w:p>
      <w:pPr>
        <w:ind w:left="283"/>
      </w:pPr>
      <w:r>
        <w:rPr>
          <w:rFonts w:ascii="Times New Roman" w:hAnsi="Times New Roman" w:eastAsia="宋体"/>
          <w:sz w:val="21"/>
        </w:rPr>
        <w:t>5. 石材翻新场景：突出药剂中性环保、结晶工艺流程、验收光泽度标准及质保期限。</w:t>
      </w:r>
    </w:p>
    <w:p>
      <w:pPr>
        <w:ind w:left="283"/>
      </w:pPr>
      <w:r>
        <w:rPr>
          <w:rFonts w:ascii="Times New Roman" w:hAnsi="Times New Roman" w:eastAsia="宋体"/>
          <w:sz w:val="21"/>
        </w:rPr>
        <w:t>6. 时间管理：提前准备标书，关注澄清截止与开标时间，避免因资料不齐或保证金晚到而废标。</w:t>
      </w:r>
    </w:p>
    <w:p>
      <w:pPr>
        <w:spacing w:before="160" w:after="120"/>
      </w:pPr>
      <w:r>
        <w:rPr>
          <w:rFonts w:ascii="Times New Roman" w:hAnsi="Times New Roman" w:eastAsia="微软雅黑"/>
          <w:b/>
          <w:color w:val="333333"/>
          <w:sz w:val="24"/>
        </w:rPr>
        <w:t>免责声明</w:t>
      </w:r>
    </w:p>
    <w:p>
      <w:r>
        <w:t>本平台内容均采集整理自公开渠道，项目摘要、历年投标透视、策略建议等内容由平台整理归纳，仅供参考，不构成投标、报价或法律建议。具体招标要求、资格条件、文件下载、保证金缴纳、开标时间等请以官方原公告为准。因信息滞后或原文更新导致的差异，本平台不承担责任。</w:t>
      </w:r>
    </w:p>
    <w:p>
      <w:pPr>
        <w:spacing w:before="160" w:after="120"/>
      </w:pPr>
      <w:r>
        <w:rPr>
          <w:rFonts w:ascii="Times New Roman" w:hAnsi="Times New Roman" w:eastAsia="微软雅黑"/>
          <w:b/>
          <w:color w:val="333333"/>
          <w:sz w:val="24"/>
        </w:rPr>
        <w:t>推荐配套清洁方案 · 投标必备参考资料</w:t>
      </w:r>
    </w:p>
    <w:p>
      <w:r>
        <w:rPr>
          <w:rFonts w:ascii="Times New Roman" w:hAnsi="Times New Roman" w:eastAsia="宋体"/>
          <w:sz w:val="21"/>
        </w:rPr>
        <w:t>针对「石材翻新养护」场景，蜘蛛工整理了配套清洁方案、作业标准、标书模板及投标必备资料，供会员企业参考使用，可进入方案页面查看详情：https://www.zhizhutegong.com/plan</w:t>
      </w:r>
    </w:p>
    <w:p>
      <w:pPr>
        <w:spacing w:before="160" w:after="120"/>
      </w:pPr>
      <w:r>
        <w:rPr>
          <w:rFonts w:ascii="Times New Roman" w:hAnsi="Times New Roman" w:eastAsia="微软雅黑"/>
          <w:b/>
          <w:color w:val="333333"/>
          <w:sz w:val="24"/>
        </w:rPr>
        <w:t>付费会员专享 · 实时获取全国高空清洁标讯</w:t>
      </w:r>
    </w:p>
    <w:p>
      <w:r>
        <w:t>加入蜘蛛工付费会员，可按地区/类型订阅实时标讯推送，获取投标资料包与专家咨询服务。</w:t>
      </w:r>
    </w:p>
    <w:p>
      <w:pPr>
        <w:spacing w:before="360"/>
      </w:pPr>
      <w:r>
        <w:rPr>
          <w:rFonts w:ascii="Times New Roman" w:hAnsi="Times New Roman" w:eastAsia="宋体"/>
          <w:color w:val="999999"/>
          <w:sz w:val="18"/>
        </w:rPr>
        <w:t>本文档由蜘蛛工标讯系统自动生成，内容采集整理自公开渠道；生成时间：2026-10-19 11:46。最新信息请以官方原公告为准。</w:t>
      </w:r>
    </w:p>
    <w:sectPr w:rsidR="00FC693F" w:rsidRPr="0006063C" w:rsidSect="00034616">
      <w:pgSz w:w="12240" w:h="15840"/>
      <w:pgMar w:top="1247" w:right="1361" w:bottom="1247" w:left="136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