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渭南市中级人民法院审判大楼外墙清洗项目询价公告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陕西省 / 渭南市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150,000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渭南市中级人民法院</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15:00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0913-2117588</w:t>
            </w:r>
          </w:p>
        </w:tc>
      </w:tr>
    </w:tbl>
    <w:p>
      <w:pPr>
        <w:spacing w:before="280" w:after="120"/>
      </w:pPr>
      <w:r>
        <w:rPr>
          <w:rFonts w:ascii="Times New Roman" w:hAnsi="Times New Roman" w:eastAsia="微软雅黑"/>
          <w:b/>
          <w:color w:val="FE4C4C"/>
          <w:sz w:val="28"/>
        </w:rPr>
        <w:t>▍项目概况（据原文公告）</w:t>
      </w:r>
    </w:p>
    <w:p>
      <w:r>
        <w:t>渭南市中级人民法院审判大楼外墙清洗项目的潜在供应商应在渭南市临渭区渭河大街 73号（渭南市中级人民法院）获取采购文件，并于2026年10月26日15时00分（北京时间）前提交响应文件。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本标讯为陕西省 / 渭南市外墙清洗类项目，招标单位为 渭南市中级人民法院；预算/金额约 150,000 元。报名截止时间为 2026-10-26 15:00，建议投标方重点核对高空作业资质、人员保险、安全施工方案及业绩案例要求，并在原公告渠道下载正式招标文件。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陕西省 / 渭南市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150,000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150,000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本文档由蜘蛛工标讯系统自动生成，内容采集整理自公开渠道；生成时间：2026-10-21 10:35。最新信息请以官方原公告为准。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