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1501E">
      <w:pPr>
        <w:keepNext w:val="0"/>
        <w:keepLines w:val="0"/>
        <w:pageBreakBefore w:val="0"/>
        <w:kinsoku/>
        <w:overflowPunct/>
        <w:topLinePunct w:val="0"/>
        <w:bidi w:val="0"/>
        <w:spacing w:line="560" w:lineRule="exact"/>
        <w:jc w:val="center"/>
        <w:textAlignment w:val="auto"/>
        <w:rPr>
          <w:rFonts w:hint="default" w:ascii="Times New Roman" w:hAnsi="Times New Roman" w:eastAsia="方正小标宋简体" w:cs="Times New Roman"/>
          <w:sz w:val="44"/>
          <w:szCs w:val="44"/>
        </w:rPr>
      </w:pPr>
      <w:bookmarkStart w:id="0" w:name="OLE_LINK1"/>
      <w:r>
        <w:rPr>
          <w:rFonts w:hint="default" w:ascii="Times New Roman" w:hAnsi="Times New Roman" w:eastAsia="方正小标宋简体" w:cs="Times New Roman"/>
          <w:sz w:val="44"/>
          <w:szCs w:val="44"/>
          <w:lang w:val="en-US" w:eastAsia="zh-CN"/>
        </w:rPr>
        <w:t>浙江中国小商品城集团</w:t>
      </w:r>
      <w:r>
        <w:rPr>
          <w:rFonts w:hint="default" w:ascii="Times New Roman" w:hAnsi="Times New Roman" w:eastAsia="方正小标宋简体" w:cs="Times New Roman"/>
          <w:sz w:val="44"/>
          <w:szCs w:val="44"/>
        </w:rPr>
        <w:t>有限公司</w:t>
      </w:r>
      <w:bookmarkStart w:id="1" w:name="OLE_LINK2"/>
      <w:r>
        <w:rPr>
          <w:rFonts w:hint="default" w:ascii="Times New Roman" w:hAnsi="Times New Roman" w:eastAsia="方正小标宋简体" w:cs="Times New Roman"/>
          <w:sz w:val="44"/>
          <w:szCs w:val="44"/>
          <w:lang w:val="en-US" w:eastAsia="zh-CN"/>
        </w:rPr>
        <w:t>全球数贸中心分公司</w:t>
      </w:r>
      <w:bookmarkEnd w:id="1"/>
      <w:r>
        <w:rPr>
          <w:rFonts w:hint="eastAsia" w:ascii="方正小标宋简体" w:hAnsi="方正小标宋简体" w:eastAsia="方正小标宋简体" w:cs="方正小标宋简体"/>
          <w:b w:val="0"/>
          <w:bCs w:val="0"/>
          <w:color w:val="auto"/>
          <w:spacing w:val="0"/>
          <w:sz w:val="44"/>
          <w:szCs w:val="44"/>
          <w:lang w:val="en-US" w:eastAsia="zh-CN"/>
        </w:rPr>
        <w:t>市场板块生活水箱清洗服务</w:t>
      </w:r>
      <w:r>
        <w:rPr>
          <w:rFonts w:hint="default" w:ascii="Times New Roman" w:hAnsi="Times New Roman" w:eastAsia="方正小标宋简体" w:cs="Times New Roman"/>
          <w:sz w:val="44"/>
          <w:szCs w:val="44"/>
          <w:lang w:val="en-US" w:eastAsia="zh-CN"/>
        </w:rPr>
        <w:t>项目</w:t>
      </w:r>
      <w:r>
        <w:rPr>
          <w:rFonts w:hint="default" w:ascii="Times New Roman" w:hAnsi="Times New Roman" w:eastAsia="方正小标宋简体" w:cs="Times New Roman"/>
          <w:sz w:val="44"/>
          <w:szCs w:val="44"/>
        </w:rPr>
        <w:t>简易采购文件</w:t>
      </w:r>
      <w:bookmarkEnd w:id="0"/>
    </w:p>
    <w:p w14:paraId="12F65974">
      <w:pPr>
        <w:widowControl/>
        <w:spacing w:line="440" w:lineRule="exact"/>
        <w:ind w:firstLine="0" w:firstLineChars="0"/>
        <w:jc w:val="center"/>
        <w:rPr>
          <w:rFonts w:hint="default" w:ascii="Times New Roman" w:hAnsi="Times New Roman" w:cs="Times New Roman"/>
          <w:color w:val="000000"/>
          <w:kern w:val="0"/>
          <w:sz w:val="24"/>
          <w:lang w:val="en-US" w:eastAsia="zh-CN"/>
        </w:rPr>
      </w:pPr>
    </w:p>
    <w:p w14:paraId="5993424F">
      <w:pPr>
        <w:widowControl/>
        <w:spacing w:line="440" w:lineRule="exact"/>
        <w:ind w:firstLine="0" w:firstLineChars="0"/>
        <w:jc w:val="center"/>
        <w:rPr>
          <w:rFonts w:hint="default" w:ascii="Times New Roman" w:hAnsi="Times New Roman" w:eastAsia="仿宋_GB2312" w:cs="Times New Roman"/>
          <w:color w:val="000000"/>
          <w:kern w:val="0"/>
          <w:sz w:val="24"/>
          <w:highlight w:val="none"/>
          <w:lang w:val="en-US" w:eastAsia="zh-CN"/>
        </w:rPr>
      </w:pPr>
      <w:r>
        <w:rPr>
          <w:rFonts w:hint="eastAsia" w:ascii="方正仿宋_GB2312" w:hAnsi="方正仿宋_GB2312" w:eastAsia="方正仿宋_GB2312" w:cs="方正仿宋_GB2312"/>
          <w:color w:val="000000"/>
          <w:kern w:val="0"/>
          <w:sz w:val="24"/>
          <w:highlight w:val="none"/>
          <w:lang w:val="en-US" w:eastAsia="zh-CN"/>
        </w:rPr>
        <w:t>采购编号：2026-SMZX-JY082</w:t>
      </w:r>
    </w:p>
    <w:p w14:paraId="54B4460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highlight w:val="none"/>
        </w:rPr>
      </w:pPr>
    </w:p>
    <w:p w14:paraId="3D07812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黑体" w:cs="Times New Roman"/>
          <w:sz w:val="24"/>
          <w:szCs w:val="24"/>
          <w:highlight w:val="none"/>
        </w:rPr>
        <w:t>一、项目</w:t>
      </w:r>
      <w:r>
        <w:rPr>
          <w:rFonts w:hint="default" w:ascii="Times New Roman" w:hAnsi="Times New Roman" w:eastAsia="黑体" w:cs="Times New Roman"/>
          <w:sz w:val="24"/>
          <w:szCs w:val="24"/>
          <w:highlight w:val="none"/>
          <w:lang w:val="en-US" w:eastAsia="zh-CN"/>
        </w:rPr>
        <w:t>信息</w:t>
      </w:r>
    </w:p>
    <w:p w14:paraId="1FF51D0F">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1.项目名称：全球数贸中心市场板</w:t>
      </w:r>
      <w:r>
        <w:rPr>
          <w:rFonts w:hint="eastAsia" w:ascii="方正仿宋_GB2312" w:hAnsi="方正仿宋_GB2312" w:eastAsia="方正仿宋_GB2312" w:cs="方正仿宋_GB2312"/>
          <w:color w:val="000000"/>
          <w:kern w:val="0"/>
          <w:sz w:val="24"/>
          <w:highlight w:val="none"/>
          <w:lang w:val="en-US" w:eastAsia="zh-CN"/>
        </w:rPr>
        <w:t>块生活水箱清洗服务项目</w:t>
      </w:r>
    </w:p>
    <w:p w14:paraId="2E0EE685">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2.项目预算：</w:t>
      </w:r>
      <w:r>
        <w:rPr>
          <w:rFonts w:hint="eastAsia" w:ascii="方正仿宋_GB2312" w:hAnsi="方正仿宋_GB2312" w:eastAsia="方正仿宋_GB2312" w:cs="方正仿宋_GB2312"/>
          <w:color w:val="000000"/>
          <w:kern w:val="0"/>
          <w:sz w:val="24"/>
          <w:highlight w:val="none"/>
          <w:lang w:val="en-US" w:eastAsia="zh-CN"/>
        </w:rPr>
        <w:t>6000</w:t>
      </w:r>
      <w:r>
        <w:rPr>
          <w:rFonts w:hint="default" w:ascii="方正仿宋_GB2312" w:hAnsi="方正仿宋_GB2312" w:eastAsia="方正仿宋_GB2312" w:cs="方正仿宋_GB2312"/>
          <w:color w:val="000000"/>
          <w:kern w:val="0"/>
          <w:sz w:val="24"/>
          <w:highlight w:val="none"/>
          <w:lang w:val="en-US" w:eastAsia="zh-CN"/>
        </w:rPr>
        <w:t>元（含税）</w:t>
      </w:r>
    </w:p>
    <w:p w14:paraId="231EFD56">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3.采购内容及需求：全球数贸中心市场板块共4个生活水箱的定期清洗及相关服务，详见附件（</w:t>
      </w:r>
      <w:r>
        <w:rPr>
          <w:rFonts w:hint="eastAsia" w:ascii="方正仿宋_GB2312" w:hAnsi="方正仿宋_GB2312" w:eastAsia="方正仿宋_GB2312" w:cs="方正仿宋_GB2312"/>
          <w:color w:val="000000"/>
          <w:kern w:val="0"/>
          <w:sz w:val="24"/>
          <w:highlight w:val="none"/>
          <w:lang w:val="en-US" w:eastAsia="zh-CN"/>
        </w:rPr>
        <w:t>报价单</w:t>
      </w:r>
      <w:r>
        <w:rPr>
          <w:rFonts w:hint="default" w:ascii="方正仿宋_GB2312" w:hAnsi="方正仿宋_GB2312" w:eastAsia="方正仿宋_GB2312" w:cs="方正仿宋_GB2312"/>
          <w:color w:val="000000"/>
          <w:kern w:val="0"/>
          <w:sz w:val="24"/>
          <w:highlight w:val="none"/>
          <w:lang w:val="en-US" w:eastAsia="zh-CN"/>
        </w:rPr>
        <w:t>）</w:t>
      </w:r>
    </w:p>
    <w:p w14:paraId="7EB19A3F">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仿宋_GB2312" w:cs="Times New Roman"/>
          <w:sz w:val="24"/>
          <w:szCs w:val="24"/>
          <w:highlight w:val="none"/>
          <w:lang w:eastAsia="zh-CN"/>
        </w:rPr>
      </w:pPr>
      <w:r>
        <w:rPr>
          <w:rFonts w:hint="default" w:ascii="方正仿宋_GB2312" w:hAnsi="方正仿宋_GB2312" w:eastAsia="方正仿宋_GB2312" w:cs="方正仿宋_GB2312"/>
          <w:color w:val="000000"/>
          <w:kern w:val="0"/>
          <w:sz w:val="24"/>
          <w:highlight w:val="none"/>
          <w:lang w:val="en-US" w:eastAsia="zh-CN"/>
        </w:rPr>
        <w:t>4.采购方式：简易采购（</w:t>
      </w:r>
      <w:r>
        <w:rPr>
          <w:rFonts w:hint="eastAsia" w:ascii="方正仿宋_GB2312" w:hAnsi="方正仿宋_GB2312" w:eastAsia="方正仿宋_GB2312" w:cs="方正仿宋_GB2312"/>
          <w:color w:val="000000"/>
          <w:kern w:val="0"/>
          <w:sz w:val="24"/>
          <w:highlight w:val="none"/>
          <w:lang w:val="en-US" w:eastAsia="zh-CN"/>
        </w:rPr>
        <w:t>比价采购</w:t>
      </w:r>
      <w:r>
        <w:rPr>
          <w:rFonts w:hint="default" w:ascii="方正仿宋_GB2312" w:hAnsi="方正仿宋_GB2312" w:eastAsia="方正仿宋_GB2312" w:cs="方正仿宋_GB2312"/>
          <w:color w:val="000000"/>
          <w:kern w:val="0"/>
          <w:sz w:val="24"/>
          <w:highlight w:val="none"/>
          <w:lang w:val="en-US" w:eastAsia="zh-CN"/>
        </w:rPr>
        <w:t>）。</w:t>
      </w:r>
    </w:p>
    <w:p w14:paraId="1C2BAF8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黑体" w:cs="Times New Roman"/>
          <w:sz w:val="24"/>
          <w:szCs w:val="24"/>
          <w:highlight w:val="none"/>
        </w:rPr>
      </w:pPr>
      <w:r>
        <w:rPr>
          <w:rFonts w:hint="default" w:ascii="Times New Roman" w:hAnsi="Times New Roman" w:eastAsia="黑体" w:cs="Times New Roman"/>
          <w:sz w:val="24"/>
          <w:szCs w:val="24"/>
          <w:highlight w:val="none"/>
          <w:lang w:val="en-US" w:eastAsia="zh-CN"/>
        </w:rPr>
        <w:t>二、项目报名条件</w:t>
      </w:r>
    </w:p>
    <w:p w14:paraId="578D8A52">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1、投标人须为中华人民共和国境内注册，具有良好的财务状况和商业信誉，具有相应服务能力的供应商；</w:t>
      </w:r>
      <w:r>
        <w:rPr>
          <w:rFonts w:hint="default" w:ascii="方正仿宋_GB2312" w:hAnsi="方正仿宋_GB2312" w:eastAsia="方正仿宋_GB2312" w:cs="方正仿宋_GB2312"/>
          <w:color w:val="000000"/>
          <w:kern w:val="0"/>
          <w:sz w:val="24"/>
          <w:highlight w:val="none"/>
          <w:lang w:val="en-US" w:eastAsia="zh-CN"/>
        </w:rPr>
        <w:br w:type="textWrapping"/>
      </w:r>
      <w:r>
        <w:rPr>
          <w:rFonts w:hint="default" w:ascii="方正仿宋_GB2312" w:hAnsi="方正仿宋_GB2312" w:eastAsia="方正仿宋_GB2312" w:cs="方正仿宋_GB2312"/>
          <w:color w:val="000000"/>
          <w:kern w:val="0"/>
          <w:sz w:val="24"/>
          <w:highlight w:val="none"/>
          <w:lang w:val="en-US" w:eastAsia="zh-CN"/>
        </w:rPr>
        <w:t xml:space="preserve">    2、须具有较强的和能提供长期的售后服务能力；</w:t>
      </w:r>
      <w:r>
        <w:rPr>
          <w:rFonts w:hint="default" w:ascii="方正仿宋_GB2312" w:hAnsi="方正仿宋_GB2312" w:eastAsia="方正仿宋_GB2312" w:cs="方正仿宋_GB2312"/>
          <w:color w:val="000000"/>
          <w:kern w:val="0"/>
          <w:sz w:val="24"/>
          <w:highlight w:val="none"/>
          <w:lang w:val="en-US" w:eastAsia="zh-CN"/>
        </w:rPr>
        <w:br w:type="textWrapping"/>
      </w:r>
      <w:r>
        <w:rPr>
          <w:rFonts w:hint="default" w:ascii="方正仿宋_GB2312" w:hAnsi="方正仿宋_GB2312" w:eastAsia="方正仿宋_GB2312" w:cs="方正仿宋_GB2312"/>
          <w:color w:val="000000"/>
          <w:kern w:val="0"/>
          <w:sz w:val="24"/>
          <w:highlight w:val="none"/>
          <w:lang w:val="en-US" w:eastAsia="zh-CN"/>
        </w:rPr>
        <w:t xml:space="preserve">    3、本项目不接受联合体投标。</w:t>
      </w:r>
    </w:p>
    <w:p w14:paraId="2C207D9C">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4.经营范围必须包含二次供水设施清洗、水箱清洗消毒、生活饮用水设施维护相关类目。</w:t>
      </w:r>
    </w:p>
    <w:p w14:paraId="45C69C7C">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5、作业人员须持有效健康证上岗</w:t>
      </w:r>
    </w:p>
    <w:p w14:paraId="175D6939">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6、针对法定代表人或股东身份存在关联的投标单位，同一法定代表人或同一股东名下的所有单位，仅可由其中一家单位参与本项目投标。</w:t>
      </w:r>
    </w:p>
    <w:p w14:paraId="143BAED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黑体" w:cs="Times New Roman"/>
          <w:sz w:val="24"/>
          <w:szCs w:val="24"/>
          <w:highlight w:val="none"/>
        </w:rPr>
      </w:pPr>
      <w:r>
        <w:rPr>
          <w:rFonts w:hint="default" w:ascii="Times New Roman" w:hAnsi="Times New Roman" w:eastAsia="黑体" w:cs="Times New Roman"/>
          <w:sz w:val="24"/>
          <w:szCs w:val="24"/>
          <w:highlight w:val="none"/>
          <w:lang w:val="en-US" w:eastAsia="zh-CN"/>
        </w:rPr>
        <w:t>三</w:t>
      </w:r>
      <w:r>
        <w:rPr>
          <w:rFonts w:hint="default" w:ascii="Times New Roman" w:hAnsi="Times New Roman" w:eastAsia="黑体" w:cs="Times New Roman"/>
          <w:sz w:val="24"/>
          <w:szCs w:val="24"/>
          <w:highlight w:val="none"/>
        </w:rPr>
        <w:t>、项目报名所需提交材料</w:t>
      </w:r>
    </w:p>
    <w:p w14:paraId="27E61B42">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1、营业执照复印件及法人身份证复印件（加盖公章)</w:t>
      </w:r>
    </w:p>
    <w:p w14:paraId="1D9A3DD7">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2、使用药剂仅限食品级含氯消毒剂，严禁工业清洗剂，提供药剂的卫生安全评价报告及生产许可证</w:t>
      </w:r>
    </w:p>
    <w:p w14:paraId="6C6F9A56">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方正仿宋_GB2312" w:hAnsi="方正仿宋_GB2312" w:eastAsia="方正仿宋_GB2312" w:cs="方正仿宋_GB2312"/>
          <w:color w:val="000000"/>
          <w:kern w:val="0"/>
          <w:sz w:val="24"/>
          <w:highlight w:val="none"/>
          <w:lang w:val="en-US" w:eastAsia="zh-CN"/>
        </w:rPr>
      </w:pPr>
      <w:r>
        <w:rPr>
          <w:rFonts w:hint="default" w:ascii="方正仿宋_GB2312" w:hAnsi="方正仿宋_GB2312" w:eastAsia="方正仿宋_GB2312" w:cs="方正仿宋_GB2312"/>
          <w:color w:val="000000"/>
          <w:kern w:val="0"/>
          <w:sz w:val="24"/>
          <w:highlight w:val="none"/>
          <w:lang w:val="en-US" w:eastAsia="zh-CN"/>
        </w:rPr>
        <w:t>3、近二年服务范本资料（一个项目至少)上传至平台（加盖公章）</w:t>
      </w:r>
    </w:p>
    <w:p w14:paraId="373AEF0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黑体" w:cs="Times New Roman"/>
          <w:sz w:val="24"/>
          <w:szCs w:val="24"/>
          <w:highlight w:val="none"/>
          <w:lang w:val="en-US" w:eastAsia="zh-CN"/>
        </w:rPr>
      </w:pPr>
      <w:r>
        <w:rPr>
          <w:rFonts w:hint="default" w:ascii="Times New Roman" w:hAnsi="Times New Roman" w:eastAsia="黑体" w:cs="Times New Roman"/>
          <w:sz w:val="24"/>
          <w:szCs w:val="24"/>
          <w:highlight w:val="none"/>
          <w:lang w:val="en-US" w:eastAsia="zh-CN"/>
        </w:rPr>
        <w:t>四</w:t>
      </w:r>
      <w:r>
        <w:rPr>
          <w:rFonts w:hint="default" w:ascii="Times New Roman" w:hAnsi="Times New Roman" w:eastAsia="黑体" w:cs="Times New Roman"/>
          <w:sz w:val="24"/>
          <w:szCs w:val="24"/>
          <w:highlight w:val="none"/>
        </w:rPr>
        <w:t>、</w:t>
      </w:r>
      <w:r>
        <w:rPr>
          <w:rFonts w:hint="default" w:ascii="Times New Roman" w:hAnsi="Times New Roman" w:eastAsia="黑体" w:cs="Times New Roman"/>
          <w:sz w:val="24"/>
          <w:szCs w:val="24"/>
          <w:highlight w:val="none"/>
          <w:lang w:val="en-US" w:eastAsia="zh-CN"/>
        </w:rPr>
        <w:t>成交规则</w:t>
      </w:r>
    </w:p>
    <w:p w14:paraId="4814214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1、投标人应根据国家的有关规定和现状情况并结合企业的实际情况进行投标报价。投标报价为投标人所能承受的最低、最终一次性报价。投标</w:t>
      </w:r>
      <w:r>
        <w:rPr>
          <w:rFonts w:hint="eastAsia" w:ascii="方正仿宋_GB2312" w:hAnsi="方正仿宋_GB2312" w:eastAsia="方正仿宋_GB2312" w:cs="方正仿宋_GB2312"/>
          <w:sz w:val="24"/>
          <w:szCs w:val="24"/>
          <w:highlight w:val="none"/>
          <w:lang w:eastAsia="zh-CN"/>
        </w:rPr>
        <w:t>人</w:t>
      </w:r>
      <w:r>
        <w:rPr>
          <w:rFonts w:hint="eastAsia" w:ascii="方正仿宋_GB2312" w:hAnsi="方正仿宋_GB2312" w:eastAsia="方正仿宋_GB2312" w:cs="方正仿宋_GB2312"/>
          <w:sz w:val="24"/>
          <w:szCs w:val="24"/>
          <w:highlight w:val="none"/>
        </w:rPr>
        <w:t>营业执照经营范围须包含相关经营项目。</w:t>
      </w:r>
    </w:p>
    <w:p w14:paraId="18D0574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2、投标报价以人民币为结算货币，须含人工费、清理费、运输费、药剂费、清洗后水质检测费、交通费、税金及完成本项目的其它费用和政策性文件规定及合同包含的所有风险、责任等各项应有费用，如有漏项，视同已包含在其总项目中，任何费用及单价不得调整，数量按实际完成结算。</w:t>
      </w:r>
    </w:p>
    <w:p w14:paraId="62280A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3、报价表错误修正：（1）报价文件的大写金额和小写金额不一致的，以大写金额为准；（2）总价金额与按单价汇总金额不一致的，以单价汇总金额计算结果为准；（3）单价金额小数点或者百分比有明显错位的，以供应商报价表的总价为准，并修改单价。</w:t>
      </w:r>
    </w:p>
    <w:p w14:paraId="752CB1E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4、</w:t>
      </w:r>
      <w:r>
        <w:rPr>
          <w:rFonts w:hint="eastAsia" w:ascii="方正仿宋_GB2312" w:hAnsi="方正仿宋_GB2312" w:eastAsia="方正仿宋_GB2312" w:cs="方正仿宋_GB2312"/>
          <w:sz w:val="24"/>
          <w:szCs w:val="24"/>
          <w:highlight w:val="none"/>
        </w:rPr>
        <w:t>评定成交供应商标准：</w:t>
      </w:r>
      <w:r>
        <w:rPr>
          <w:rFonts w:hint="eastAsia" w:ascii="方正仿宋_GB2312" w:hAnsi="方正仿宋_GB2312" w:eastAsia="方正仿宋_GB2312" w:cs="方正仿宋_GB2312"/>
          <w:sz w:val="24"/>
          <w:szCs w:val="24"/>
          <w:highlight w:val="none"/>
          <w:lang w:val="en-US" w:eastAsia="zh-CN"/>
        </w:rPr>
        <w:t>在各竞争单位提供的相关资质证明、服务质量及产品标准均能满足实质性要求的基础上，以最低价评标法确定中标单位并签订合同，需提供增值税专用发票。</w:t>
      </w:r>
      <w:r>
        <w:rPr>
          <w:rFonts w:hint="eastAsia" w:ascii="方正仿宋_GB2312" w:hAnsi="方正仿宋_GB2312" w:eastAsia="方正仿宋_GB2312" w:cs="方正仿宋_GB2312"/>
          <w:sz w:val="24"/>
          <w:szCs w:val="24"/>
          <w:highlight w:val="none"/>
        </w:rPr>
        <w:t xml:space="preserve">当出现两家或两家以上最低评标价相同的情况，如果投标人的报价税率相同，则以系统提交时间优先者为中标人；如果投标人的报价税率不同，确定税率高的投标人为中标人。 </w:t>
      </w:r>
    </w:p>
    <w:p w14:paraId="51E5AE6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5、</w:t>
      </w:r>
      <w:r>
        <w:rPr>
          <w:rFonts w:hint="eastAsia" w:ascii="方正仿宋_GB2312" w:hAnsi="方正仿宋_GB2312" w:eastAsia="方正仿宋_GB2312" w:cs="方正仿宋_GB2312"/>
          <w:sz w:val="24"/>
          <w:szCs w:val="24"/>
          <w:highlight w:val="none"/>
        </w:rPr>
        <w:t>如评标委员会一致认为最低投标报价或某些分项明显不合理，有降低质量、不能诚信履约的可能时，评标委员会有权通知投标人限期进行解释。如投标人未在规定期限内做出解释，或所作解释不合理，经评标委员会取得一致意见后，可列为异常报价，确定该投标为无效标。投标总价高于预算价或最高限价，或投标单价高于单价最高限价时该投标为无效标。</w:t>
      </w:r>
    </w:p>
    <w:p w14:paraId="20A098E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6、</w:t>
      </w:r>
      <w:r>
        <w:rPr>
          <w:rFonts w:hint="eastAsia" w:ascii="方正仿宋_GB2312" w:hAnsi="方正仿宋_GB2312" w:eastAsia="方正仿宋_GB2312" w:cs="方正仿宋_GB2312"/>
          <w:sz w:val="24"/>
          <w:szCs w:val="24"/>
          <w:highlight w:val="none"/>
        </w:rPr>
        <w:t>中标单位经核查存在资质造假、报价弄虚作假、提供虚假材料等违规行为的，采购人立即取消其中标资格，并追究其相应责任。</w:t>
      </w:r>
    </w:p>
    <w:p w14:paraId="37C436B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仿宋_GB2312" w:cs="Times New Roman"/>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7、</w:t>
      </w:r>
      <w:r>
        <w:rPr>
          <w:rFonts w:hint="eastAsia" w:ascii="方正仿宋_GB2312" w:hAnsi="方正仿宋_GB2312" w:eastAsia="方正仿宋_GB2312" w:cs="方正仿宋_GB2312"/>
          <w:sz w:val="24"/>
          <w:szCs w:val="24"/>
          <w:highlight w:val="none"/>
        </w:rPr>
        <w:t>中标单位确认中标后，未按规定时间提供服务、服务不达标或违反本规则及采购项目相关要求的，采购人有权取消其中标资格，重新从合格供应商中按报价排序选择替补中标单位，或重新组织采购。</w:t>
      </w:r>
    </w:p>
    <w:p w14:paraId="39D8463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黑体" w:cs="Times New Roman"/>
          <w:sz w:val="24"/>
          <w:szCs w:val="24"/>
          <w:highlight w:val="none"/>
          <w:lang w:val="en-US" w:eastAsia="zh-CN"/>
        </w:rPr>
      </w:pPr>
      <w:r>
        <w:rPr>
          <w:rFonts w:hint="default" w:ascii="Times New Roman" w:hAnsi="Times New Roman" w:eastAsia="黑体" w:cs="Times New Roman"/>
          <w:sz w:val="24"/>
          <w:szCs w:val="24"/>
          <w:highlight w:val="none"/>
          <w:lang w:val="en-US" w:eastAsia="zh-CN"/>
        </w:rPr>
        <w:t>五、联系方式及地址</w:t>
      </w:r>
    </w:p>
    <w:p w14:paraId="4B3B5BC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rPr>
        <w:t>采购人：</w:t>
      </w:r>
      <w:r>
        <w:rPr>
          <w:rFonts w:hint="eastAsia" w:ascii="方正仿宋_GB2312" w:hAnsi="方正仿宋_GB2312" w:eastAsia="方正仿宋_GB2312" w:cs="方正仿宋_GB2312"/>
          <w:sz w:val="24"/>
          <w:szCs w:val="24"/>
          <w:lang w:val="en-US" w:eastAsia="zh-CN"/>
        </w:rPr>
        <w:t>浙江中国小商品城集团股份有限公司全球数贸中心分公司</w:t>
      </w:r>
    </w:p>
    <w:p w14:paraId="0040CEC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联系人：楼俊杰      电话： 18857916766</w:t>
      </w:r>
    </w:p>
    <w:p w14:paraId="63F6337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 xml:space="preserve">地址：全球数贸中心H2公寓楼2楼物业服务中心               </w:t>
      </w:r>
    </w:p>
    <w:p w14:paraId="23DE06A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黑体" w:cs="Times New Roman"/>
          <w:sz w:val="24"/>
          <w:szCs w:val="24"/>
          <w:highlight w:val="none"/>
          <w:lang w:val="en-US" w:eastAsia="zh-CN"/>
        </w:rPr>
      </w:pPr>
      <w:r>
        <w:rPr>
          <w:rFonts w:hint="default" w:ascii="Times New Roman" w:hAnsi="Times New Roman" w:eastAsia="黑体" w:cs="Times New Roman"/>
          <w:sz w:val="24"/>
          <w:szCs w:val="24"/>
          <w:highlight w:val="none"/>
          <w:lang w:val="en-US" w:eastAsia="zh-CN"/>
        </w:rPr>
        <w:t>六、附件</w:t>
      </w:r>
    </w:p>
    <w:p w14:paraId="6081B951">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附件1：</w:t>
      </w:r>
      <w:r>
        <w:rPr>
          <w:rFonts w:hint="default" w:ascii="方正仿宋_GB2312" w:hAnsi="方正仿宋_GB2312" w:eastAsia="方正仿宋_GB2312" w:cs="方正仿宋_GB2312"/>
          <w:color w:val="000000"/>
          <w:kern w:val="0"/>
          <w:sz w:val="24"/>
          <w:highlight w:val="none"/>
          <w:lang w:val="en-US" w:eastAsia="zh-CN"/>
        </w:rPr>
        <w:t>供应商报价及承诺表</w:t>
      </w:r>
    </w:p>
    <w:p w14:paraId="4641968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附件2</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en-US" w:eastAsia="zh-CN"/>
        </w:rPr>
        <w:t>采购项目合同（样本）</w:t>
      </w:r>
    </w:p>
    <w:p w14:paraId="683BA06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sz w:val="24"/>
          <w:szCs w:val="24"/>
          <w:lang w:val="en-US" w:eastAsia="zh-CN"/>
        </w:rPr>
      </w:pPr>
    </w:p>
    <w:p w14:paraId="43BD7E2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sz w:val="24"/>
          <w:szCs w:val="24"/>
          <w:lang w:val="en-US" w:eastAsia="zh-CN"/>
        </w:rPr>
      </w:pPr>
    </w:p>
    <w:p w14:paraId="788F121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sz w:val="24"/>
          <w:szCs w:val="24"/>
          <w:lang w:val="en-US" w:eastAsia="zh-CN"/>
        </w:rPr>
      </w:pPr>
    </w:p>
    <w:p w14:paraId="4242B087">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浙江中国小商品城集团股份有限公司全球数贸中心分公司</w:t>
      </w:r>
    </w:p>
    <w:p w14:paraId="47D8237D">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2026年10月  日</w:t>
      </w:r>
    </w:p>
    <w:p w14:paraId="1E5D51C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4A7E256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附件1：</w:t>
      </w:r>
    </w:p>
    <w:p w14:paraId="0443F557">
      <w:pPr>
        <w:pStyle w:val="10"/>
        <w:spacing w:line="240" w:lineRule="auto"/>
        <w:jc w:val="center"/>
        <w:rPr>
          <w:rFonts w:hint="eastAsia" w:ascii="宋体" w:hAnsi="宋体" w:eastAsia="宋体" w:cs="宋体"/>
          <w:b/>
          <w:color w:val="auto"/>
          <w:sz w:val="30"/>
          <w:szCs w:val="30"/>
          <w:highlight w:val="none"/>
          <w:lang w:eastAsia="zh-CN"/>
        </w:rPr>
      </w:pPr>
      <w:r>
        <w:rPr>
          <w:rFonts w:hint="eastAsia" w:ascii="宋体"/>
          <w:b/>
          <w:bCs w:val="0"/>
          <w:color w:val="000000"/>
          <w:sz w:val="44"/>
          <w:szCs w:val="44"/>
          <w:u w:val="none"/>
          <w:lang w:val="en-US" w:eastAsia="zh-CN"/>
        </w:rPr>
        <w:t>全球数贸中心市场板块生活水箱清洗服务采购</w:t>
      </w:r>
      <w:r>
        <w:rPr>
          <w:rFonts w:hint="eastAsia"/>
          <w:b/>
          <w:bCs w:val="0"/>
          <w:color w:val="000000"/>
          <w:sz w:val="44"/>
          <w:szCs w:val="44"/>
          <w:u w:val="none"/>
        </w:rPr>
        <w:t>报价</w:t>
      </w:r>
      <w:r>
        <w:rPr>
          <w:rFonts w:hint="eastAsia"/>
          <w:b/>
          <w:bCs w:val="0"/>
          <w:color w:val="000000"/>
          <w:sz w:val="44"/>
          <w:szCs w:val="44"/>
          <w:u w:val="none"/>
          <w:lang w:val="en-US" w:eastAsia="zh-CN"/>
        </w:rPr>
        <w:t>单</w:t>
      </w:r>
    </w:p>
    <w:tbl>
      <w:tblPr>
        <w:tblStyle w:val="15"/>
        <w:tblpPr w:leftFromText="180" w:rightFromText="180" w:vertAnchor="text" w:horzAnchor="page" w:tblpXSpec="center" w:tblpY="644"/>
        <w:tblOverlap w:val="never"/>
        <w:tblW w:w="54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1110"/>
        <w:gridCol w:w="1492"/>
        <w:gridCol w:w="1094"/>
        <w:gridCol w:w="984"/>
        <w:gridCol w:w="1065"/>
        <w:gridCol w:w="1110"/>
        <w:gridCol w:w="2475"/>
      </w:tblGrid>
      <w:tr w14:paraId="2C5F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30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0A45D6">
            <w:pPr>
              <w:widowControl/>
              <w:spacing w:line="360" w:lineRule="auto"/>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序号</w:t>
            </w: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ECB374">
            <w:pPr>
              <w:widowControl/>
              <w:tabs>
                <w:tab w:val="left" w:pos="283"/>
              </w:tabs>
              <w:spacing w:line="360" w:lineRule="auto"/>
              <w:jc w:val="center"/>
              <w:rPr>
                <w:rFonts w:hint="eastAsia" w:ascii="宋体" w:hAnsi="宋体" w:eastAsia="宋体" w:cs="宋体"/>
                <w:b w:val="0"/>
                <w:bCs w:val="0"/>
                <w:color w:val="000000"/>
                <w:kern w:val="0"/>
                <w:sz w:val="21"/>
                <w:szCs w:val="21"/>
                <w:lang w:eastAsia="zh-CN"/>
              </w:rPr>
            </w:pPr>
            <w:r>
              <w:rPr>
                <w:rFonts w:hint="eastAsia" w:ascii="宋体" w:hAnsi="宋体" w:eastAsia="宋体" w:cs="宋体"/>
                <w:b w:val="0"/>
                <w:bCs w:val="0"/>
                <w:color w:val="000000"/>
                <w:kern w:val="0"/>
                <w:sz w:val="21"/>
                <w:szCs w:val="21"/>
                <w:lang w:val="en-US" w:eastAsia="zh-CN"/>
              </w:rPr>
              <w:t>名称</w:t>
            </w:r>
          </w:p>
        </w:tc>
        <w:tc>
          <w:tcPr>
            <w:tcW w:w="75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CE4CA8">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i w:val="0"/>
                <w:iCs w:val="0"/>
                <w:color w:val="000000"/>
                <w:sz w:val="21"/>
                <w:szCs w:val="21"/>
                <w:highlight w:val="none"/>
                <w:u w:val="none"/>
                <w:lang w:val="en-US" w:eastAsia="zh-CN"/>
              </w:rPr>
              <w:t>总容量</w:t>
            </w:r>
          </w:p>
        </w:tc>
        <w:tc>
          <w:tcPr>
            <w:tcW w:w="55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45C701">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数量</w:t>
            </w:r>
          </w:p>
        </w:tc>
        <w:tc>
          <w:tcPr>
            <w:tcW w:w="4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ECD956">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rPr>
              <w:t>清洗数量</w:t>
            </w:r>
          </w:p>
        </w:tc>
        <w:tc>
          <w:tcPr>
            <w:tcW w:w="53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68FF58">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eastAsia="zh-CN"/>
              </w:rPr>
              <w:t>不含税</w:t>
            </w:r>
            <w:r>
              <w:rPr>
                <w:rFonts w:hint="eastAsia" w:ascii="宋体" w:hAnsi="宋体" w:eastAsia="宋体" w:cs="宋体"/>
                <w:b w:val="0"/>
                <w:bCs w:val="0"/>
                <w:color w:val="000000"/>
                <w:kern w:val="0"/>
                <w:sz w:val="21"/>
                <w:szCs w:val="21"/>
                <w:lang w:val="en-US" w:eastAsia="zh-CN"/>
              </w:rPr>
              <w:t>单</w:t>
            </w:r>
            <w:r>
              <w:rPr>
                <w:rFonts w:hint="eastAsia" w:ascii="宋体" w:hAnsi="宋体" w:eastAsia="宋体" w:cs="宋体"/>
                <w:b w:val="0"/>
                <w:bCs w:val="0"/>
                <w:color w:val="000000"/>
                <w:kern w:val="0"/>
                <w:sz w:val="21"/>
                <w:szCs w:val="21"/>
                <w:lang w:eastAsia="zh-CN"/>
              </w:rPr>
              <w:t>价（</w:t>
            </w:r>
            <w:r>
              <w:rPr>
                <w:rFonts w:hint="eastAsia" w:ascii="宋体" w:hAnsi="宋体" w:eastAsia="宋体" w:cs="宋体"/>
                <w:b w:val="0"/>
                <w:bCs w:val="0"/>
                <w:color w:val="000000"/>
                <w:kern w:val="0"/>
                <w:sz w:val="21"/>
                <w:szCs w:val="21"/>
                <w:lang w:val="en-US" w:eastAsia="zh-CN"/>
              </w:rPr>
              <w:t>元</w:t>
            </w:r>
            <w:r>
              <w:rPr>
                <w:rFonts w:hint="eastAsia" w:ascii="宋体" w:hAnsi="宋体" w:eastAsia="宋体" w:cs="宋体"/>
                <w:b w:val="0"/>
                <w:bCs w:val="0"/>
                <w:color w:val="000000"/>
                <w:kern w:val="0"/>
                <w:sz w:val="21"/>
                <w:szCs w:val="21"/>
                <w:lang w:eastAsia="zh-CN"/>
              </w:rPr>
              <w:t>）</w:t>
            </w: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3273A4">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eastAsia="zh-CN"/>
              </w:rPr>
              <w:t>不含</w:t>
            </w:r>
            <w:r>
              <w:rPr>
                <w:rFonts w:hint="eastAsia" w:ascii="宋体" w:hAnsi="宋体" w:eastAsia="宋体" w:cs="宋体"/>
                <w:b w:val="0"/>
                <w:bCs w:val="0"/>
                <w:color w:val="000000"/>
                <w:kern w:val="0"/>
                <w:sz w:val="21"/>
                <w:szCs w:val="21"/>
                <w:lang w:val="en-US" w:eastAsia="zh-CN"/>
              </w:rPr>
              <w:t>税金额（元）</w:t>
            </w:r>
          </w:p>
        </w:tc>
        <w:tc>
          <w:tcPr>
            <w:tcW w:w="124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E0891D">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备注</w:t>
            </w:r>
          </w:p>
        </w:tc>
      </w:tr>
      <w:tr w14:paraId="33EA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30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3B2521">
            <w:pPr>
              <w:tabs>
                <w:tab w:val="left" w:pos="0"/>
              </w:tabs>
              <w:spacing w:line="360" w:lineRule="auto"/>
              <w:jc w:val="center"/>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1</w:t>
            </w: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8C0CC2">
            <w:pPr>
              <w:pStyle w:val="14"/>
              <w:spacing w:line="400" w:lineRule="exact"/>
              <w:ind w:left="0" w:lef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水箱清洗</w:t>
            </w:r>
          </w:p>
        </w:tc>
        <w:tc>
          <w:tcPr>
            <w:tcW w:w="75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7A92C8">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64m³</w:t>
            </w:r>
          </w:p>
        </w:tc>
        <w:tc>
          <w:tcPr>
            <w:tcW w:w="55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B28CFA">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4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E1897A">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53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621F53">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928788">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p>
        </w:tc>
        <w:tc>
          <w:tcPr>
            <w:tcW w:w="124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FD3613">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1"/>
                <w:szCs w:val="21"/>
                <w:vertAlign w:val="baseline"/>
                <w:lang w:val="en-US" w:eastAsia="zh-CN"/>
              </w:rPr>
              <w:t>（含人工费、药剂费、清洗后水质检测费、交通费等全部相关费用）。</w:t>
            </w:r>
          </w:p>
        </w:tc>
      </w:tr>
      <w:tr w14:paraId="0813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0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A1C5B1">
            <w:pPr>
              <w:tabs>
                <w:tab w:val="left" w:pos="0"/>
              </w:tabs>
              <w:spacing w:line="360" w:lineRule="auto"/>
              <w:jc w:val="center"/>
              <w:rPr>
                <w:rFonts w:hint="default"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2</w:t>
            </w:r>
          </w:p>
        </w:tc>
        <w:tc>
          <w:tcPr>
            <w:tcW w:w="3452" w:type="pct"/>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8AA0FE">
            <w:pPr>
              <w:keepNext w:val="0"/>
              <w:keepLines w:val="0"/>
              <w:widowControl/>
              <w:suppressLineNumbers w:val="0"/>
              <w:jc w:val="center"/>
              <w:textAlignment w:val="center"/>
              <w:rPr>
                <w:rFonts w:hint="eastAsia" w:ascii="宋体" w:hAnsi="宋体" w:eastAsia="宋体" w:cs="宋体"/>
                <w:bCs/>
                <w:color w:val="000000"/>
                <w:kern w:val="2"/>
                <w:sz w:val="21"/>
                <w:szCs w:val="21"/>
                <w:lang w:val="en-US" w:eastAsia="zh-CN" w:bidi="ar-SA"/>
              </w:rPr>
            </w:pPr>
            <w:r>
              <w:rPr>
                <w:rFonts w:hint="eastAsia" w:ascii="宋体" w:hAnsi="宋体" w:eastAsia="宋体" w:cs="宋体"/>
                <w:color w:val="000000"/>
                <w:kern w:val="0"/>
                <w:sz w:val="21"/>
                <w:szCs w:val="21"/>
              </w:rPr>
              <w:t>不含税金额小计</w:t>
            </w:r>
          </w:p>
        </w:tc>
        <w:tc>
          <w:tcPr>
            <w:tcW w:w="124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9B1C36">
            <w:pPr>
              <w:widowControl/>
              <w:jc w:val="center"/>
              <w:textAlignment w:val="center"/>
              <w:rPr>
                <w:rFonts w:hint="eastAsia" w:ascii="宋体" w:hAnsi="宋体" w:eastAsia="宋体" w:cs="宋体"/>
                <w:color w:val="000000"/>
                <w:kern w:val="0"/>
                <w:sz w:val="21"/>
                <w:szCs w:val="21"/>
              </w:rPr>
            </w:pPr>
          </w:p>
        </w:tc>
      </w:tr>
      <w:tr w14:paraId="1F05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300" w:type="pct"/>
            <w:tcBorders>
              <w:top w:val="single" w:color="auto" w:sz="4" w:space="0"/>
              <w:left w:val="single" w:color="auto" w:sz="4" w:space="0"/>
              <w:right w:val="single" w:color="auto" w:sz="4" w:space="0"/>
            </w:tcBorders>
            <w:shd w:val="clear" w:color="auto" w:fill="FFFFFF"/>
            <w:noWrap w:val="0"/>
            <w:vAlign w:val="center"/>
          </w:tcPr>
          <w:p w14:paraId="514C9004">
            <w:pPr>
              <w:tabs>
                <w:tab w:val="left" w:pos="0"/>
              </w:tabs>
              <w:spacing w:line="360" w:lineRule="auto"/>
              <w:jc w:val="center"/>
              <w:rPr>
                <w:rFonts w:hint="default"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3</w:t>
            </w:r>
          </w:p>
        </w:tc>
        <w:tc>
          <w:tcPr>
            <w:tcW w:w="559" w:type="pct"/>
            <w:tcBorders>
              <w:top w:val="single" w:color="auto" w:sz="4" w:space="0"/>
              <w:left w:val="single" w:color="auto" w:sz="4" w:space="0"/>
              <w:right w:val="single" w:color="auto" w:sz="4" w:space="0"/>
            </w:tcBorders>
            <w:shd w:val="clear" w:color="auto" w:fill="FFFFFF"/>
            <w:noWrap w:val="0"/>
            <w:vAlign w:val="center"/>
          </w:tcPr>
          <w:p w14:paraId="03E024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 w:val="21"/>
                <w:szCs w:val="21"/>
              </w:rPr>
              <w:t>税率及税额</w:t>
            </w:r>
          </w:p>
        </w:tc>
        <w:tc>
          <w:tcPr>
            <w:tcW w:w="75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225CAFD">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  提供增值税专用发票</w:t>
            </w:r>
          </w:p>
        </w:tc>
        <w:tc>
          <w:tcPr>
            <w:tcW w:w="55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57F06B7">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w:t>
            </w:r>
          </w:p>
        </w:tc>
        <w:tc>
          <w:tcPr>
            <w:tcW w:w="4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91C80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2342" w:type="pct"/>
            <w:gridSpan w:val="3"/>
            <w:tcBorders>
              <w:top w:val="single" w:color="auto" w:sz="4" w:space="0"/>
              <w:left w:val="single" w:color="auto" w:sz="4" w:space="0"/>
              <w:right w:val="single" w:color="auto" w:sz="4" w:space="0"/>
            </w:tcBorders>
            <w:shd w:val="clear" w:color="auto" w:fill="auto"/>
            <w:noWrap w:val="0"/>
            <w:vAlign w:val="center"/>
          </w:tcPr>
          <w:p w14:paraId="407B273E">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在相应项目框内选“√”，并填写税率和税额　</w:t>
            </w:r>
          </w:p>
        </w:tc>
      </w:tr>
      <w:tr w14:paraId="0CCF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0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21E8CD">
            <w:pPr>
              <w:tabs>
                <w:tab w:val="left" w:pos="0"/>
              </w:tabs>
              <w:spacing w:line="360" w:lineRule="auto"/>
              <w:jc w:val="center"/>
              <w:rPr>
                <w:rFonts w:hint="default"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4</w:t>
            </w:r>
          </w:p>
        </w:tc>
        <w:tc>
          <w:tcPr>
            <w:tcW w:w="5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76FD932">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rPr>
              <w:t>价税合计</w:t>
            </w:r>
          </w:p>
        </w:tc>
        <w:tc>
          <w:tcPr>
            <w:tcW w:w="4140" w:type="pct"/>
            <w:gridSpan w:val="6"/>
            <w:tcBorders>
              <w:top w:val="single" w:color="auto" w:sz="4" w:space="0"/>
              <w:left w:val="single" w:color="auto" w:sz="4" w:space="0"/>
              <w:bottom w:val="single" w:color="auto" w:sz="4" w:space="0"/>
              <w:right w:val="single" w:color="auto" w:sz="4" w:space="0"/>
            </w:tcBorders>
            <w:shd w:val="clear" w:color="auto" w:fill="auto"/>
            <w:noWrap w:val="0"/>
            <w:vAlign w:val="center"/>
          </w:tcPr>
          <w:p w14:paraId="0F58FCC5">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人民币：      元（大写：</w:t>
            </w:r>
            <w:r>
              <w:rPr>
                <w:rFonts w:hint="eastAsia" w:ascii="宋体" w:hAnsi="宋体" w:eastAsia="宋体" w:cs="宋体"/>
                <w:color w:val="000000"/>
                <w:kern w:val="0"/>
                <w:sz w:val="21"/>
                <w:szCs w:val="21"/>
                <w:u w:val="single"/>
              </w:rPr>
              <w:t xml:space="preserve">          整</w:t>
            </w:r>
            <w:r>
              <w:rPr>
                <w:rFonts w:hint="eastAsia" w:ascii="宋体" w:hAnsi="宋体" w:eastAsia="宋体" w:cs="宋体"/>
                <w:color w:val="000000"/>
                <w:kern w:val="0"/>
                <w:sz w:val="21"/>
                <w:szCs w:val="21"/>
              </w:rPr>
              <w:t>）</w:t>
            </w:r>
          </w:p>
        </w:tc>
      </w:tr>
    </w:tbl>
    <w:p w14:paraId="26EEB6B7">
      <w:pPr>
        <w:rPr>
          <w:rFonts w:hint="default"/>
          <w:lang w:val="en-US" w:eastAsia="zh-CN"/>
        </w:rPr>
      </w:pPr>
    </w:p>
    <w:p w14:paraId="02FCE5A7">
      <w:pPr>
        <w:rPr>
          <w:rFonts w:hint="default" w:ascii="Times New Roman" w:hAnsi="Times New Roman" w:cs="Times New Roman"/>
          <w:color w:val="auto"/>
          <w:szCs w:val="21"/>
          <w:highlight w:val="none"/>
          <w:u w:val="single"/>
        </w:rPr>
      </w:pPr>
      <w:r>
        <w:rPr>
          <w:rFonts w:hint="default" w:ascii="Times New Roman" w:hAnsi="Times New Roman" w:eastAsia="仿宋_GB2312" w:cs="Times New Roman"/>
          <w:color w:val="auto"/>
          <w:sz w:val="24"/>
          <w:highlight w:val="none"/>
        </w:rPr>
        <w:t xml:space="preserve">                                          </w:t>
      </w:r>
    </w:p>
    <w:p w14:paraId="2196D1BE">
      <w:pPr>
        <w:spacing w:line="320" w:lineRule="exact"/>
        <w:rPr>
          <w:rFonts w:hint="default" w:ascii="Times New Roman" w:hAnsi="Times New Roman" w:cs="Times New Roman"/>
          <w:color w:val="000000"/>
          <w:kern w:val="0"/>
          <w:szCs w:val="21"/>
        </w:rPr>
      </w:pPr>
    </w:p>
    <w:p w14:paraId="76D3C86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投标单位名称 ：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     单位负责人签字：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联系电话：</w:t>
      </w:r>
    </w:p>
    <w:p w14:paraId="1E7EF76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（盖章）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         （或印鉴）</w:t>
      </w:r>
    </w:p>
    <w:p w14:paraId="6B505853">
      <w:pP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 </w:t>
      </w:r>
    </w:p>
    <w:p w14:paraId="016CAE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注意事项。各供应商必须严格按照以下规定报价，</w:t>
      </w:r>
    </w:p>
    <w:p w14:paraId="43E380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本项目采购预算及最高限价：含税6000元。本报价为报价方所能承受的最低、最终一次性报价。只允许有一个报价，有选择的报价将不予接受。本报价以人民币为结算货币，须包括货物价款、途中运输费、装卸费、二次搬运费、损耗费、保险费、人工费</w:t>
      </w:r>
      <w:r>
        <w:rPr>
          <w:rFonts w:hint="eastAsia" w:ascii="宋体" w:hAnsi="宋体" w:eastAsia="宋体" w:cs="宋体"/>
          <w:sz w:val="21"/>
          <w:szCs w:val="21"/>
          <w:vertAlign w:val="baseline"/>
          <w:lang w:val="en-US" w:eastAsia="zh-CN"/>
        </w:rPr>
        <w:t>、药剂费、清洗后水质检测费、交通费</w:t>
      </w:r>
      <w:r>
        <w:rPr>
          <w:rFonts w:hint="eastAsia" w:ascii="宋体" w:hAnsi="宋体" w:eastAsia="宋体" w:cs="宋体"/>
          <w:color w:val="auto"/>
          <w:szCs w:val="21"/>
          <w:highlight w:val="none"/>
          <w:lang w:val="en-US" w:eastAsia="zh-CN"/>
        </w:rPr>
        <w:t>、税费等完成本项目的一切费用。投标人应按采购文件规定的报价格式填写报价单，需注明提供增值税专用发票或普通发票，并填写相应税率、税额、价税合计。</w:t>
      </w:r>
    </w:p>
    <w:p w14:paraId="72BDF6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供应商所报项目的报价表务必加盖供应商公章和单位负责人签字，附表需加盖供应商公章。报价时需提供营业执照副本复印件</w:t>
      </w:r>
      <w:r>
        <w:rPr>
          <w:rFonts w:hint="eastAsia" w:ascii="宋体" w:hAnsi="宋体" w:eastAsia="宋体" w:cs="宋体"/>
          <w:color w:val="auto"/>
          <w:szCs w:val="21"/>
          <w:highlight w:val="none"/>
          <w:lang w:val="en-US" w:eastAsia="zh-CN"/>
        </w:rPr>
        <w:t>及法定代表人身份证</w:t>
      </w:r>
      <w:r>
        <w:rPr>
          <w:rFonts w:hint="eastAsia" w:ascii="宋体" w:hAnsi="宋体" w:eastAsia="宋体" w:cs="宋体"/>
          <w:color w:val="auto"/>
          <w:szCs w:val="21"/>
          <w:highlight w:val="none"/>
        </w:rPr>
        <w:t>复印件（加盖供应商公章）。</w:t>
      </w:r>
    </w:p>
    <w:p w14:paraId="4EB0A9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具体时间有需方通知为准。</w:t>
      </w:r>
    </w:p>
    <w:p w14:paraId="2C3F59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、有效期：本报价有效期</w:t>
      </w:r>
      <w:r>
        <w:rPr>
          <w:rFonts w:hint="eastAsia" w:ascii="宋体" w:hAnsi="宋体" w:eastAsia="宋体" w:cs="宋体"/>
          <w:color w:val="auto"/>
          <w:szCs w:val="21"/>
          <w:highlight w:val="none"/>
          <w:u w:val="single"/>
          <w:lang w:val="en-US" w:eastAsia="zh-CN"/>
        </w:rPr>
        <w:t>60</w:t>
      </w:r>
      <w:r>
        <w:rPr>
          <w:rFonts w:hint="eastAsia" w:ascii="宋体" w:hAnsi="宋体" w:eastAsia="宋体" w:cs="宋体"/>
          <w:color w:val="auto"/>
          <w:szCs w:val="21"/>
          <w:highlight w:val="none"/>
        </w:rPr>
        <w:t>天。</w:t>
      </w:r>
    </w:p>
    <w:p w14:paraId="431DC7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服务</w:t>
      </w:r>
      <w:r>
        <w:rPr>
          <w:rFonts w:hint="eastAsia" w:ascii="宋体" w:hAnsi="宋体" w:eastAsia="宋体" w:cs="宋体"/>
          <w:color w:val="auto"/>
          <w:szCs w:val="21"/>
          <w:highlight w:val="none"/>
        </w:rPr>
        <w:t>地点：</w:t>
      </w:r>
      <w:r>
        <w:rPr>
          <w:rFonts w:hint="eastAsia" w:ascii="宋体" w:hAnsi="宋体" w:eastAsia="宋体" w:cs="宋体"/>
          <w:color w:val="auto"/>
          <w:szCs w:val="21"/>
          <w:highlight w:val="none"/>
          <w:lang w:val="en-US" w:eastAsia="zh-CN"/>
        </w:rPr>
        <w:t>全球数贸中心指定地点</w:t>
      </w:r>
      <w:r>
        <w:rPr>
          <w:rFonts w:hint="eastAsia" w:ascii="宋体" w:hAnsi="宋体" w:eastAsia="宋体" w:cs="宋体"/>
          <w:color w:val="auto"/>
          <w:szCs w:val="21"/>
          <w:highlight w:val="none"/>
        </w:rPr>
        <w:t>。</w:t>
      </w:r>
    </w:p>
    <w:p w14:paraId="36616A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、供应商报此表在不改变表式的情况下，可自行制作。</w:t>
      </w:r>
    </w:p>
    <w:p w14:paraId="7C8B1443">
      <w:pPr>
        <w:rPr>
          <w:rFonts w:hint="default" w:ascii="Times New Roman" w:hAnsi="Times New Roman" w:cs="Times New Roman"/>
          <w:lang w:val="en-US" w:eastAsia="zh-CN"/>
        </w:rPr>
      </w:pPr>
    </w:p>
    <w:p w14:paraId="0C3B7CAD">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附件2：</w:t>
      </w:r>
    </w:p>
    <w:p w14:paraId="7EEC0E4A">
      <w:pPr>
        <w:pStyle w:val="10"/>
        <w:spacing w:line="240" w:lineRule="auto"/>
        <w:jc w:val="center"/>
        <w:rPr>
          <w:rFonts w:hint="default" w:ascii="Times New Roman" w:hAnsi="Times New Roman" w:eastAsia="方正小标宋简体" w:cs="Times New Roman"/>
          <w:b w:val="0"/>
          <w:bCs w:val="0"/>
          <w:kern w:val="2"/>
          <w:sz w:val="36"/>
          <w:szCs w:val="36"/>
          <w:lang w:val="en-US" w:eastAsia="zh-CN" w:bidi="ar-SA"/>
        </w:rPr>
      </w:pPr>
      <w:r>
        <w:rPr>
          <w:rFonts w:hint="default" w:ascii="Times New Roman" w:hAnsi="Times New Roman" w:eastAsia="方正小标宋简体" w:cs="Times New Roman"/>
          <w:b w:val="0"/>
          <w:bCs w:val="0"/>
          <w:kern w:val="2"/>
          <w:sz w:val="36"/>
          <w:szCs w:val="36"/>
          <w:lang w:val="en-US" w:eastAsia="zh-CN" w:bidi="ar-SA"/>
        </w:rPr>
        <w:t>全球数贸中心市场板块生活水箱清洗服务采购合同（样本）</w:t>
      </w:r>
    </w:p>
    <w:p w14:paraId="2332D17B">
      <w:pPr>
        <w:spacing w:line="240" w:lineRule="auto"/>
        <w:rPr>
          <w:rFonts w:hint="default" w:ascii="Times New Roman" w:hAnsi="Times New Roman" w:cs="Times New Roman"/>
          <w:color w:val="auto"/>
          <w:sz w:val="24"/>
          <w:szCs w:val="21"/>
          <w:highlight w:val="none"/>
        </w:rPr>
      </w:pPr>
    </w:p>
    <w:p w14:paraId="29FA81B1">
      <w:pPr>
        <w:keepNext w:val="0"/>
        <w:keepLines w:val="0"/>
        <w:pageBreakBefore w:val="0"/>
        <w:widowControl/>
        <w:kinsoku/>
        <w:wordWrap/>
        <w:overflowPunct/>
        <w:topLinePunct w:val="0"/>
        <w:bidi w:val="0"/>
        <w:spacing w:line="400" w:lineRule="exact"/>
        <w:ind w:firstLine="480"/>
        <w:jc w:val="left"/>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rPr>
        <w:t>甲方：</w:t>
      </w:r>
      <w:r>
        <w:rPr>
          <w:rFonts w:hint="eastAsia" w:ascii="Times New Roman" w:hAnsi="Times New Roman" w:eastAsia="仿宋_GB2312" w:cs="Times New Roman"/>
          <w:color w:val="auto"/>
          <w:sz w:val="24"/>
          <w:highlight w:val="none"/>
          <w:u w:val="single"/>
          <w:lang w:val="en-US" w:eastAsia="zh-CN"/>
        </w:rPr>
        <w:t>浙江中国小商品城集团股份有限公司全球数贸中心分公司</w:t>
      </w:r>
      <w:r>
        <w:rPr>
          <w:rFonts w:hint="default" w:ascii="Times New Roman" w:hAnsi="Times New Roman" w:eastAsia="仿宋_GB2312" w:cs="Times New Roman"/>
          <w:color w:val="auto"/>
          <w:sz w:val="24"/>
          <w:highlight w:val="none"/>
          <w:u w:val="single"/>
          <w:lang w:val="en-US" w:eastAsia="zh-CN"/>
        </w:rPr>
        <w:t xml:space="preserve"> </w:t>
      </w:r>
      <w:r>
        <w:rPr>
          <w:rFonts w:hint="default" w:ascii="Times New Roman" w:hAnsi="Times New Roman" w:eastAsia="仿宋_GB2312" w:cs="Times New Roman"/>
          <w:color w:val="auto"/>
          <w:sz w:val="24"/>
          <w:highlight w:val="none"/>
          <w:lang w:val="en-US" w:eastAsia="zh-CN"/>
        </w:rPr>
        <w:t xml:space="preserve"> </w:t>
      </w:r>
    </w:p>
    <w:p w14:paraId="2C0339AE">
      <w:pPr>
        <w:keepNext w:val="0"/>
        <w:keepLines w:val="0"/>
        <w:pageBreakBefore w:val="0"/>
        <w:widowControl/>
        <w:kinsoku/>
        <w:wordWrap/>
        <w:overflowPunct/>
        <w:topLinePunct w:val="0"/>
        <w:bidi w:val="0"/>
        <w:spacing w:line="400" w:lineRule="exact"/>
        <w:ind w:firstLine="480"/>
        <w:jc w:val="left"/>
        <w:rPr>
          <w:rFonts w:hint="default" w:ascii="Times New Roman" w:hAnsi="Times New Roman" w:eastAsia="仿宋_GB2312" w:cs="Times New Roman"/>
          <w:color w:val="auto"/>
          <w:kern w:val="0"/>
          <w:sz w:val="24"/>
          <w:highlight w:val="none"/>
          <w:u w:val="single"/>
          <w:lang w:val="en-US" w:eastAsia="zh-CN"/>
        </w:rPr>
      </w:pPr>
      <w:r>
        <w:rPr>
          <w:rFonts w:hint="default" w:ascii="Times New Roman" w:hAnsi="Times New Roman" w:eastAsia="仿宋_GB2312" w:cs="Times New Roman"/>
          <w:color w:val="auto"/>
          <w:sz w:val="24"/>
          <w:highlight w:val="none"/>
        </w:rPr>
        <w:t>乙方：</w:t>
      </w:r>
      <w:r>
        <w:rPr>
          <w:rFonts w:hint="default" w:ascii="Times New Roman" w:hAnsi="Times New Roman" w:eastAsia="仿宋_GB2312" w:cs="Times New Roman"/>
          <w:color w:val="auto"/>
          <w:kern w:val="0"/>
          <w:sz w:val="24"/>
          <w:highlight w:val="none"/>
          <w:u w:val="single"/>
          <w:lang w:val="en-US" w:eastAsia="zh-CN"/>
        </w:rPr>
        <w:t xml:space="preserve">                                                    </w:t>
      </w:r>
    </w:p>
    <w:p w14:paraId="6C4982B9">
      <w:pPr>
        <w:pStyle w:val="13"/>
        <w:keepNext w:val="0"/>
        <w:keepLines w:val="0"/>
        <w:pageBreakBefore w:val="0"/>
        <w:shd w:val="clear" w:color="auto" w:fill="FFFFFF"/>
        <w:kinsoku/>
        <w:wordWrap/>
        <w:overflowPunct/>
        <w:topLinePunct w:val="0"/>
        <w:bidi w:val="0"/>
        <w:spacing w:before="0" w:beforeAutospacing="0" w:after="0" w:afterAutospacing="0" w:line="400" w:lineRule="exact"/>
        <w:ind w:left="0" w:leftChars="0" w:firstLine="0" w:firstLineChars="0"/>
        <w:rPr>
          <w:rFonts w:hint="default" w:ascii="Times New Roman" w:hAnsi="Times New Roman" w:eastAsia="仿宋_GB2312" w:cs="Times New Roman"/>
          <w:color w:val="auto"/>
          <w:sz w:val="36"/>
          <w:szCs w:val="36"/>
        </w:rPr>
      </w:pPr>
    </w:p>
    <w:p w14:paraId="100E9C97">
      <w:pPr>
        <w:ind w:firstLine="480" w:firstLineChars="200"/>
        <w:rPr>
          <w:sz w:val="24"/>
          <w:szCs w:val="24"/>
        </w:rPr>
      </w:pPr>
      <w:r>
        <w:rPr>
          <w:rFonts w:hint="eastAsia"/>
          <w:sz w:val="24"/>
          <w:szCs w:val="24"/>
        </w:rPr>
        <w:t>为保障水箱的清洁，现甲方委托乙方对生活水箱进行专项清洗消毒服务，根据有关法律法规，经甲乙双方友好协商，就有关事宜达成如下协议：</w:t>
      </w:r>
    </w:p>
    <w:p w14:paraId="76B23C33">
      <w:pPr>
        <w:ind w:firstLine="480" w:firstLineChars="200"/>
        <w:rPr>
          <w:sz w:val="24"/>
          <w:szCs w:val="24"/>
        </w:rPr>
      </w:pPr>
    </w:p>
    <w:p w14:paraId="6194D15E">
      <w:pPr>
        <w:pStyle w:val="32"/>
        <w:ind w:firstLine="0" w:firstLineChars="0"/>
        <w:rPr>
          <w:sz w:val="24"/>
          <w:szCs w:val="24"/>
        </w:rPr>
      </w:pPr>
      <w:r>
        <w:rPr>
          <w:rFonts w:hint="eastAsia"/>
          <w:b/>
          <w:sz w:val="24"/>
          <w:szCs w:val="24"/>
        </w:rPr>
        <w:t>一、清洗地点</w:t>
      </w:r>
      <w:r>
        <w:rPr>
          <w:rFonts w:hint="eastAsia"/>
          <w:sz w:val="24"/>
          <w:szCs w:val="24"/>
        </w:rPr>
        <w:t>：</w:t>
      </w:r>
    </w:p>
    <w:p w14:paraId="2F79AC75">
      <w:pPr>
        <w:pStyle w:val="32"/>
        <w:ind w:firstLine="0" w:firstLineChars="0"/>
        <w:rPr>
          <w:sz w:val="24"/>
          <w:szCs w:val="24"/>
        </w:rPr>
      </w:pPr>
    </w:p>
    <w:p w14:paraId="0E1B3675">
      <w:pPr>
        <w:pStyle w:val="32"/>
        <w:ind w:left="420" w:firstLine="0" w:firstLineChars="0"/>
        <w:rPr>
          <w:sz w:val="24"/>
          <w:szCs w:val="24"/>
        </w:rPr>
      </w:pPr>
      <w:r>
        <w:rPr>
          <w:rFonts w:hint="eastAsia"/>
          <w:sz w:val="24"/>
          <w:szCs w:val="24"/>
        </w:rPr>
        <w:t>地点：</w:t>
      </w:r>
      <w:r>
        <w:rPr>
          <w:rFonts w:hint="eastAsia"/>
          <w:sz w:val="24"/>
          <w:szCs w:val="24"/>
          <w:u w:val="single"/>
        </w:rPr>
        <w:t xml:space="preserve"> </w:t>
      </w:r>
      <w:r>
        <w:rPr>
          <w:rFonts w:hint="eastAsia"/>
          <w:sz w:val="24"/>
          <w:szCs w:val="24"/>
          <w:u w:val="single"/>
          <w:lang w:val="en-US" w:eastAsia="zh-CN"/>
        </w:rPr>
        <w:t>全球数贸中心市场</w:t>
      </w:r>
      <w:r>
        <w:rPr>
          <w:rFonts w:hint="eastAsia"/>
          <w:sz w:val="24"/>
          <w:szCs w:val="24"/>
          <w:u w:val="single"/>
        </w:rPr>
        <w:t xml:space="preserve"> </w:t>
      </w:r>
    </w:p>
    <w:p w14:paraId="4E45E9AD">
      <w:pPr>
        <w:pStyle w:val="32"/>
        <w:ind w:left="420" w:firstLine="0" w:firstLineChars="0"/>
        <w:rPr>
          <w:sz w:val="24"/>
          <w:szCs w:val="24"/>
        </w:rPr>
      </w:pPr>
      <w:r>
        <w:rPr>
          <w:rFonts w:hint="eastAsia"/>
          <w:sz w:val="24"/>
          <w:szCs w:val="24"/>
        </w:rPr>
        <w:t xml:space="preserve">         </w:t>
      </w:r>
    </w:p>
    <w:p w14:paraId="19F9C683">
      <w:pPr>
        <w:pStyle w:val="32"/>
        <w:ind w:firstLine="0" w:firstLineChars="0"/>
        <w:rPr>
          <w:sz w:val="24"/>
          <w:szCs w:val="24"/>
        </w:rPr>
      </w:pPr>
      <w:r>
        <w:rPr>
          <w:rFonts w:hint="eastAsia"/>
          <w:b/>
          <w:sz w:val="24"/>
          <w:szCs w:val="24"/>
        </w:rPr>
        <w:t>二、清洗费用与结算方式</w:t>
      </w:r>
      <w:r>
        <w:rPr>
          <w:rFonts w:hint="eastAsia"/>
          <w:sz w:val="24"/>
          <w:szCs w:val="24"/>
        </w:rPr>
        <w:t>：</w:t>
      </w:r>
    </w:p>
    <w:tbl>
      <w:tblPr>
        <w:tblStyle w:val="15"/>
        <w:tblpPr w:leftFromText="180" w:rightFromText="180" w:vertAnchor="text" w:horzAnchor="page" w:tblpXSpec="center" w:tblpY="644"/>
        <w:tblOverlap w:val="never"/>
        <w:tblW w:w="54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1110"/>
        <w:gridCol w:w="1492"/>
        <w:gridCol w:w="1094"/>
        <w:gridCol w:w="984"/>
        <w:gridCol w:w="1065"/>
        <w:gridCol w:w="1110"/>
        <w:gridCol w:w="2475"/>
      </w:tblGrid>
      <w:tr w14:paraId="342E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30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F3E1A0">
            <w:pPr>
              <w:widowControl/>
              <w:spacing w:line="360" w:lineRule="auto"/>
              <w:jc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序号</w:t>
            </w: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5AAD6A">
            <w:pPr>
              <w:widowControl/>
              <w:tabs>
                <w:tab w:val="left" w:pos="283"/>
              </w:tabs>
              <w:spacing w:line="360" w:lineRule="auto"/>
              <w:jc w:val="center"/>
              <w:rPr>
                <w:rFonts w:hint="eastAsia" w:ascii="宋体" w:hAnsi="宋体" w:eastAsia="宋体" w:cs="宋体"/>
                <w:b w:val="0"/>
                <w:bCs w:val="0"/>
                <w:color w:val="000000"/>
                <w:kern w:val="0"/>
                <w:sz w:val="21"/>
                <w:szCs w:val="21"/>
                <w:lang w:eastAsia="zh-CN"/>
              </w:rPr>
            </w:pPr>
            <w:r>
              <w:rPr>
                <w:rFonts w:hint="eastAsia" w:ascii="宋体" w:hAnsi="宋体" w:eastAsia="宋体" w:cs="宋体"/>
                <w:b w:val="0"/>
                <w:bCs w:val="0"/>
                <w:color w:val="000000"/>
                <w:kern w:val="0"/>
                <w:sz w:val="21"/>
                <w:szCs w:val="21"/>
                <w:lang w:val="en-US" w:eastAsia="zh-CN"/>
              </w:rPr>
              <w:t>名称</w:t>
            </w:r>
          </w:p>
        </w:tc>
        <w:tc>
          <w:tcPr>
            <w:tcW w:w="75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31D964">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i w:val="0"/>
                <w:iCs w:val="0"/>
                <w:color w:val="000000"/>
                <w:sz w:val="21"/>
                <w:szCs w:val="21"/>
                <w:highlight w:val="none"/>
                <w:u w:val="none"/>
                <w:lang w:val="en-US" w:eastAsia="zh-CN"/>
              </w:rPr>
              <w:t>总容量</w:t>
            </w:r>
          </w:p>
        </w:tc>
        <w:tc>
          <w:tcPr>
            <w:tcW w:w="55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9207BD">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数量</w:t>
            </w:r>
          </w:p>
        </w:tc>
        <w:tc>
          <w:tcPr>
            <w:tcW w:w="4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04A2DD">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rPr>
              <w:t>清洗数量</w:t>
            </w:r>
          </w:p>
        </w:tc>
        <w:tc>
          <w:tcPr>
            <w:tcW w:w="53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A8AA9C">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eastAsia="zh-CN"/>
              </w:rPr>
              <w:t>不含税</w:t>
            </w:r>
            <w:r>
              <w:rPr>
                <w:rFonts w:hint="eastAsia" w:ascii="宋体" w:hAnsi="宋体" w:eastAsia="宋体" w:cs="宋体"/>
                <w:b w:val="0"/>
                <w:bCs w:val="0"/>
                <w:color w:val="000000"/>
                <w:kern w:val="0"/>
                <w:sz w:val="21"/>
                <w:szCs w:val="21"/>
                <w:lang w:val="en-US" w:eastAsia="zh-CN"/>
              </w:rPr>
              <w:t>单</w:t>
            </w:r>
            <w:r>
              <w:rPr>
                <w:rFonts w:hint="eastAsia" w:ascii="宋体" w:hAnsi="宋体" w:eastAsia="宋体" w:cs="宋体"/>
                <w:b w:val="0"/>
                <w:bCs w:val="0"/>
                <w:color w:val="000000"/>
                <w:kern w:val="0"/>
                <w:sz w:val="21"/>
                <w:szCs w:val="21"/>
                <w:lang w:eastAsia="zh-CN"/>
              </w:rPr>
              <w:t>价（</w:t>
            </w:r>
            <w:r>
              <w:rPr>
                <w:rFonts w:hint="eastAsia" w:ascii="宋体" w:hAnsi="宋体" w:eastAsia="宋体" w:cs="宋体"/>
                <w:b w:val="0"/>
                <w:bCs w:val="0"/>
                <w:color w:val="000000"/>
                <w:kern w:val="0"/>
                <w:sz w:val="21"/>
                <w:szCs w:val="21"/>
                <w:lang w:val="en-US" w:eastAsia="zh-CN"/>
              </w:rPr>
              <w:t>元</w:t>
            </w:r>
            <w:r>
              <w:rPr>
                <w:rFonts w:hint="eastAsia" w:ascii="宋体" w:hAnsi="宋体" w:eastAsia="宋体" w:cs="宋体"/>
                <w:b w:val="0"/>
                <w:bCs w:val="0"/>
                <w:color w:val="000000"/>
                <w:kern w:val="0"/>
                <w:sz w:val="21"/>
                <w:szCs w:val="21"/>
                <w:lang w:eastAsia="zh-CN"/>
              </w:rPr>
              <w:t>）</w:t>
            </w: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9DC02E">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eastAsia="zh-CN"/>
              </w:rPr>
              <w:t>不含</w:t>
            </w:r>
            <w:r>
              <w:rPr>
                <w:rFonts w:hint="eastAsia" w:ascii="宋体" w:hAnsi="宋体" w:eastAsia="宋体" w:cs="宋体"/>
                <w:b w:val="0"/>
                <w:bCs w:val="0"/>
                <w:color w:val="000000"/>
                <w:kern w:val="0"/>
                <w:sz w:val="21"/>
                <w:szCs w:val="21"/>
                <w:lang w:val="en-US" w:eastAsia="zh-CN"/>
              </w:rPr>
              <w:t>税金额（元）</w:t>
            </w:r>
          </w:p>
        </w:tc>
        <w:tc>
          <w:tcPr>
            <w:tcW w:w="124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CB7560">
            <w:pPr>
              <w:widowControl/>
              <w:spacing w:line="360" w:lineRule="auto"/>
              <w:jc w:val="center"/>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备注</w:t>
            </w:r>
          </w:p>
        </w:tc>
      </w:tr>
      <w:tr w14:paraId="0AF0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30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B1302C">
            <w:pPr>
              <w:tabs>
                <w:tab w:val="left" w:pos="0"/>
              </w:tabs>
              <w:spacing w:line="360" w:lineRule="auto"/>
              <w:jc w:val="center"/>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1</w:t>
            </w: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ACEDAA">
            <w:pPr>
              <w:pStyle w:val="14"/>
              <w:spacing w:line="400" w:lineRule="exact"/>
              <w:ind w:left="0" w:leftChars="0" w:firstLine="0" w:firstLineChars="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水箱清洗</w:t>
            </w:r>
          </w:p>
        </w:tc>
        <w:tc>
          <w:tcPr>
            <w:tcW w:w="75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67ADD1">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64m³</w:t>
            </w:r>
          </w:p>
        </w:tc>
        <w:tc>
          <w:tcPr>
            <w:tcW w:w="55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9DDCF6">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4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CCBE89">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53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760D98">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p>
        </w:tc>
        <w:tc>
          <w:tcPr>
            <w:tcW w:w="559"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AD2A59">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p>
        </w:tc>
        <w:tc>
          <w:tcPr>
            <w:tcW w:w="124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959ABC">
            <w:pPr>
              <w:pStyle w:val="14"/>
              <w:spacing w:line="400" w:lineRule="exact"/>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1"/>
                <w:szCs w:val="21"/>
                <w:vertAlign w:val="baseline"/>
                <w:lang w:val="en-US" w:eastAsia="zh-CN"/>
              </w:rPr>
              <w:t>（含人工费、药剂费、清洗后水质检测费、交通费等全部相关费用）。</w:t>
            </w:r>
          </w:p>
        </w:tc>
      </w:tr>
      <w:tr w14:paraId="458C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0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705D25">
            <w:pPr>
              <w:tabs>
                <w:tab w:val="left" w:pos="0"/>
              </w:tabs>
              <w:spacing w:line="360" w:lineRule="auto"/>
              <w:jc w:val="center"/>
              <w:rPr>
                <w:rFonts w:hint="default"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2</w:t>
            </w:r>
          </w:p>
        </w:tc>
        <w:tc>
          <w:tcPr>
            <w:tcW w:w="3452" w:type="pct"/>
            <w:gridSpan w:val="6"/>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19F27E">
            <w:pPr>
              <w:keepNext w:val="0"/>
              <w:keepLines w:val="0"/>
              <w:widowControl/>
              <w:suppressLineNumbers w:val="0"/>
              <w:jc w:val="center"/>
              <w:textAlignment w:val="center"/>
              <w:rPr>
                <w:rFonts w:hint="eastAsia" w:ascii="宋体" w:hAnsi="宋体" w:eastAsia="宋体" w:cs="宋体"/>
                <w:bCs/>
                <w:color w:val="000000"/>
                <w:kern w:val="2"/>
                <w:sz w:val="21"/>
                <w:szCs w:val="21"/>
                <w:lang w:val="en-US" w:eastAsia="zh-CN" w:bidi="ar-SA"/>
              </w:rPr>
            </w:pPr>
            <w:r>
              <w:rPr>
                <w:rFonts w:hint="eastAsia" w:ascii="宋体" w:hAnsi="宋体" w:eastAsia="宋体" w:cs="宋体"/>
                <w:color w:val="000000"/>
                <w:kern w:val="0"/>
                <w:sz w:val="21"/>
                <w:szCs w:val="21"/>
              </w:rPr>
              <w:t>不含税金额小计</w:t>
            </w:r>
          </w:p>
        </w:tc>
        <w:tc>
          <w:tcPr>
            <w:tcW w:w="1246"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283F8F">
            <w:pPr>
              <w:widowControl/>
              <w:jc w:val="center"/>
              <w:textAlignment w:val="center"/>
              <w:rPr>
                <w:rFonts w:hint="eastAsia" w:ascii="宋体" w:hAnsi="宋体" w:eastAsia="宋体" w:cs="宋体"/>
                <w:color w:val="000000"/>
                <w:kern w:val="0"/>
                <w:sz w:val="21"/>
                <w:szCs w:val="21"/>
              </w:rPr>
            </w:pPr>
          </w:p>
        </w:tc>
      </w:tr>
      <w:tr w14:paraId="159B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300" w:type="pct"/>
            <w:tcBorders>
              <w:top w:val="single" w:color="auto" w:sz="4" w:space="0"/>
              <w:left w:val="single" w:color="auto" w:sz="4" w:space="0"/>
              <w:right w:val="single" w:color="auto" w:sz="4" w:space="0"/>
            </w:tcBorders>
            <w:shd w:val="clear" w:color="auto" w:fill="FFFFFF"/>
            <w:noWrap w:val="0"/>
            <w:vAlign w:val="center"/>
          </w:tcPr>
          <w:p w14:paraId="1543E208">
            <w:pPr>
              <w:tabs>
                <w:tab w:val="left" w:pos="0"/>
              </w:tabs>
              <w:spacing w:line="360" w:lineRule="auto"/>
              <w:jc w:val="center"/>
              <w:rPr>
                <w:rFonts w:hint="default"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3</w:t>
            </w:r>
          </w:p>
        </w:tc>
        <w:tc>
          <w:tcPr>
            <w:tcW w:w="559" w:type="pct"/>
            <w:tcBorders>
              <w:top w:val="single" w:color="auto" w:sz="4" w:space="0"/>
              <w:left w:val="single" w:color="auto" w:sz="4" w:space="0"/>
              <w:right w:val="single" w:color="auto" w:sz="4" w:space="0"/>
            </w:tcBorders>
            <w:shd w:val="clear" w:color="auto" w:fill="FFFFFF"/>
            <w:noWrap w:val="0"/>
            <w:vAlign w:val="center"/>
          </w:tcPr>
          <w:p w14:paraId="3AF7CC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 w:val="21"/>
                <w:szCs w:val="21"/>
              </w:rPr>
              <w:t>税率及税额</w:t>
            </w:r>
          </w:p>
        </w:tc>
        <w:tc>
          <w:tcPr>
            <w:tcW w:w="75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FA64308">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rPr>
              <w:t>增值税专用发票</w:t>
            </w:r>
          </w:p>
        </w:tc>
        <w:tc>
          <w:tcPr>
            <w:tcW w:w="55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20BDB19">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w:t>
            </w:r>
          </w:p>
        </w:tc>
        <w:tc>
          <w:tcPr>
            <w:tcW w:w="1032" w:type="pct"/>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ED888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税额：</w:t>
            </w:r>
          </w:p>
        </w:tc>
        <w:tc>
          <w:tcPr>
            <w:tcW w:w="1805" w:type="pct"/>
            <w:gridSpan w:val="2"/>
            <w:tcBorders>
              <w:top w:val="single" w:color="auto" w:sz="4" w:space="0"/>
              <w:left w:val="single" w:color="auto" w:sz="4" w:space="0"/>
              <w:right w:val="single" w:color="auto" w:sz="4" w:space="0"/>
            </w:tcBorders>
            <w:shd w:val="clear" w:color="auto" w:fill="auto"/>
            <w:noWrap w:val="0"/>
            <w:vAlign w:val="center"/>
          </w:tcPr>
          <w:p w14:paraId="1262E88E">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6959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0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1BB286">
            <w:pPr>
              <w:tabs>
                <w:tab w:val="left" w:pos="0"/>
              </w:tabs>
              <w:spacing w:line="360" w:lineRule="auto"/>
              <w:jc w:val="center"/>
              <w:rPr>
                <w:rFonts w:hint="default"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4</w:t>
            </w:r>
          </w:p>
        </w:tc>
        <w:tc>
          <w:tcPr>
            <w:tcW w:w="55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8827CDE">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rPr>
              <w:t>价税合计</w:t>
            </w:r>
          </w:p>
        </w:tc>
        <w:tc>
          <w:tcPr>
            <w:tcW w:w="4140" w:type="pct"/>
            <w:gridSpan w:val="6"/>
            <w:tcBorders>
              <w:top w:val="single" w:color="auto" w:sz="4" w:space="0"/>
              <w:left w:val="single" w:color="auto" w:sz="4" w:space="0"/>
              <w:bottom w:val="single" w:color="auto" w:sz="4" w:space="0"/>
              <w:right w:val="single" w:color="auto" w:sz="4" w:space="0"/>
            </w:tcBorders>
            <w:shd w:val="clear" w:color="auto" w:fill="auto"/>
            <w:noWrap w:val="0"/>
            <w:vAlign w:val="center"/>
          </w:tcPr>
          <w:p w14:paraId="7099235B">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人民币：      元（大写：</w:t>
            </w:r>
            <w:r>
              <w:rPr>
                <w:rFonts w:hint="eastAsia" w:ascii="宋体" w:hAnsi="宋体" w:eastAsia="宋体" w:cs="宋体"/>
                <w:color w:val="000000"/>
                <w:kern w:val="0"/>
                <w:sz w:val="21"/>
                <w:szCs w:val="21"/>
                <w:u w:val="single"/>
              </w:rPr>
              <w:t xml:space="preserve">          整</w:t>
            </w:r>
            <w:r>
              <w:rPr>
                <w:rFonts w:hint="eastAsia" w:ascii="宋体" w:hAnsi="宋体" w:eastAsia="宋体" w:cs="宋体"/>
                <w:color w:val="000000"/>
                <w:kern w:val="0"/>
                <w:sz w:val="21"/>
                <w:szCs w:val="21"/>
              </w:rPr>
              <w:t>）</w:t>
            </w:r>
          </w:p>
        </w:tc>
      </w:tr>
    </w:tbl>
    <w:p w14:paraId="7AAD09DA">
      <w:pPr>
        <w:pStyle w:val="32"/>
        <w:ind w:firstLine="0" w:firstLineChars="0"/>
        <w:rPr>
          <w:sz w:val="24"/>
          <w:szCs w:val="24"/>
        </w:rPr>
      </w:pPr>
    </w:p>
    <w:p w14:paraId="0DE08085">
      <w:pPr>
        <w:pStyle w:val="32"/>
        <w:ind w:firstLine="0" w:firstLineChars="0"/>
        <w:rPr>
          <w:sz w:val="24"/>
          <w:szCs w:val="24"/>
        </w:rPr>
      </w:pPr>
    </w:p>
    <w:p w14:paraId="26F9CA2F">
      <w:pPr>
        <w:pStyle w:val="32"/>
        <w:ind w:left="420" w:firstLine="0" w:firstLineChars="0"/>
        <w:rPr>
          <w:sz w:val="24"/>
          <w:szCs w:val="24"/>
        </w:rPr>
      </w:pPr>
    </w:p>
    <w:p w14:paraId="2801C2B4">
      <w:pPr>
        <w:pStyle w:val="32"/>
        <w:ind w:left="420" w:firstLine="0" w:firstLineChars="0"/>
        <w:rPr>
          <w:sz w:val="24"/>
          <w:szCs w:val="24"/>
        </w:rPr>
      </w:pPr>
      <w:r>
        <w:rPr>
          <w:rFonts w:hint="eastAsia"/>
          <w:sz w:val="24"/>
          <w:szCs w:val="24"/>
        </w:rPr>
        <w:t>结算方式：清洗结束，拿到水质检测合格报告后，乙方</w:t>
      </w:r>
      <w:r>
        <w:rPr>
          <w:rFonts w:hint="eastAsia"/>
          <w:sz w:val="24"/>
          <w:szCs w:val="24"/>
          <w:lang w:val="en-US" w:eastAsia="zh-CN"/>
        </w:rPr>
        <w:t>开具增值税专用</w:t>
      </w:r>
      <w:r>
        <w:rPr>
          <w:rFonts w:hint="eastAsia"/>
          <w:sz w:val="24"/>
          <w:szCs w:val="24"/>
        </w:rPr>
        <w:t>发票，甲方在收到发票后</w:t>
      </w:r>
      <w:r>
        <w:rPr>
          <w:rFonts w:hint="eastAsia"/>
          <w:sz w:val="24"/>
          <w:szCs w:val="24"/>
          <w:lang w:val="en-US" w:eastAsia="zh-CN"/>
        </w:rPr>
        <w:t>30日</w:t>
      </w:r>
      <w:r>
        <w:rPr>
          <w:rFonts w:hint="eastAsia"/>
          <w:sz w:val="24"/>
          <w:szCs w:val="24"/>
        </w:rPr>
        <w:t>内付清。</w:t>
      </w:r>
    </w:p>
    <w:p w14:paraId="4BCBEDC1">
      <w:pPr>
        <w:pStyle w:val="32"/>
        <w:ind w:left="420" w:firstLine="0" w:firstLineChars="0"/>
        <w:rPr>
          <w:sz w:val="24"/>
          <w:szCs w:val="24"/>
        </w:rPr>
      </w:pPr>
    </w:p>
    <w:p w14:paraId="1BFC9AB8">
      <w:pPr>
        <w:rPr>
          <w:sz w:val="24"/>
          <w:szCs w:val="24"/>
        </w:rPr>
      </w:pPr>
      <w:r>
        <w:rPr>
          <w:rFonts w:hint="eastAsia"/>
          <w:sz w:val="24"/>
          <w:szCs w:val="24"/>
        </w:rPr>
        <w:t>三、</w:t>
      </w:r>
      <w:r>
        <w:rPr>
          <w:rFonts w:hint="eastAsia"/>
          <w:b/>
          <w:sz w:val="24"/>
          <w:szCs w:val="24"/>
        </w:rPr>
        <w:t>合同期限</w:t>
      </w:r>
      <w:r>
        <w:rPr>
          <w:rFonts w:hint="eastAsia"/>
          <w:sz w:val="24"/>
          <w:szCs w:val="24"/>
        </w:rPr>
        <w:t>：</w:t>
      </w:r>
    </w:p>
    <w:p w14:paraId="6EA54FC5">
      <w:pPr>
        <w:ind w:firstLine="405"/>
        <w:rPr>
          <w:sz w:val="24"/>
          <w:szCs w:val="24"/>
        </w:rPr>
      </w:pPr>
    </w:p>
    <w:p w14:paraId="7ACFA847">
      <w:pPr>
        <w:ind w:firstLine="405"/>
        <w:rPr>
          <w:sz w:val="24"/>
          <w:szCs w:val="24"/>
        </w:rPr>
      </w:pPr>
      <w:r>
        <w:rPr>
          <w:rFonts w:hint="eastAsia"/>
          <w:sz w:val="24"/>
          <w:szCs w:val="24"/>
        </w:rPr>
        <w:t>本合同自</w:t>
      </w:r>
      <w:r>
        <w:rPr>
          <w:rFonts w:hint="eastAsia"/>
          <w:sz w:val="24"/>
          <w:szCs w:val="24"/>
          <w:u w:val="single"/>
        </w:rPr>
        <w:t xml:space="preserve"> </w:t>
      </w:r>
      <w:r>
        <w:rPr>
          <w:rFonts w:hint="eastAsia"/>
          <w:sz w:val="24"/>
          <w:szCs w:val="24"/>
          <w:u w:val="single"/>
          <w:lang w:val="en-US" w:eastAsia="zh-CN"/>
        </w:rPr>
        <w:t>2026</w:t>
      </w:r>
      <w:r>
        <w:rPr>
          <w:rFonts w:hint="eastAsia"/>
          <w:sz w:val="24"/>
          <w:szCs w:val="24"/>
          <w:u w:val="single"/>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rPr>
        <w:t>日起至</w:t>
      </w:r>
      <w:r>
        <w:rPr>
          <w:rFonts w:hint="eastAsia"/>
          <w:sz w:val="24"/>
          <w:szCs w:val="24"/>
          <w:u w:val="single"/>
        </w:rPr>
        <w:t xml:space="preserve"> </w:t>
      </w:r>
      <w:r>
        <w:rPr>
          <w:rFonts w:hint="eastAsia"/>
          <w:sz w:val="24"/>
          <w:szCs w:val="24"/>
          <w:u w:val="single"/>
          <w:lang w:val="en-US" w:eastAsia="zh-CN"/>
        </w:rPr>
        <w:t>2027</w:t>
      </w:r>
      <w:r>
        <w:rPr>
          <w:rFonts w:hint="eastAsia"/>
          <w:sz w:val="24"/>
          <w:szCs w:val="24"/>
          <w:u w:val="single"/>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日止，具体清洗时间在合同期限内由双方协商再定。</w:t>
      </w:r>
    </w:p>
    <w:p w14:paraId="3A89BDB4">
      <w:pPr>
        <w:ind w:firstLine="405"/>
        <w:rPr>
          <w:sz w:val="24"/>
          <w:szCs w:val="24"/>
        </w:rPr>
      </w:pPr>
    </w:p>
    <w:p w14:paraId="48784F92">
      <w:pPr>
        <w:pStyle w:val="32"/>
        <w:ind w:firstLine="0" w:firstLineChars="0"/>
        <w:rPr>
          <w:sz w:val="24"/>
          <w:szCs w:val="24"/>
        </w:rPr>
      </w:pPr>
      <w:r>
        <w:rPr>
          <w:rFonts w:hint="eastAsia"/>
          <w:b/>
          <w:sz w:val="24"/>
          <w:szCs w:val="24"/>
        </w:rPr>
        <w:t>四、合同以外业务</w:t>
      </w:r>
      <w:r>
        <w:rPr>
          <w:rFonts w:hint="eastAsia"/>
          <w:sz w:val="24"/>
          <w:szCs w:val="24"/>
        </w:rPr>
        <w:t>：</w:t>
      </w:r>
    </w:p>
    <w:p w14:paraId="5F894166">
      <w:pPr>
        <w:pStyle w:val="32"/>
        <w:ind w:left="420" w:firstLine="0" w:firstLineChars="0"/>
        <w:rPr>
          <w:sz w:val="24"/>
          <w:szCs w:val="24"/>
        </w:rPr>
      </w:pPr>
      <w:r>
        <w:rPr>
          <w:rFonts w:hint="eastAsia"/>
          <w:sz w:val="24"/>
          <w:szCs w:val="24"/>
        </w:rPr>
        <w:t>如甲方要求乙方提供超出本合同规定以外的其他服务，可根据具体事项签订补充协议。</w:t>
      </w:r>
    </w:p>
    <w:p w14:paraId="0894D3FD">
      <w:pPr>
        <w:pStyle w:val="32"/>
        <w:ind w:left="420" w:firstLine="0" w:firstLineChars="0"/>
        <w:rPr>
          <w:sz w:val="24"/>
          <w:szCs w:val="24"/>
        </w:rPr>
      </w:pPr>
    </w:p>
    <w:p w14:paraId="01123E18">
      <w:pPr>
        <w:pStyle w:val="32"/>
        <w:numPr>
          <w:ilvl w:val="0"/>
          <w:numId w:val="2"/>
        </w:numPr>
        <w:ind w:firstLineChars="0"/>
        <w:rPr>
          <w:sz w:val="24"/>
          <w:szCs w:val="24"/>
        </w:rPr>
      </w:pPr>
      <w:r>
        <w:rPr>
          <w:rFonts w:hint="eastAsia"/>
          <w:b/>
          <w:sz w:val="24"/>
          <w:szCs w:val="24"/>
        </w:rPr>
        <w:t>甲方权利与义务</w:t>
      </w:r>
      <w:r>
        <w:rPr>
          <w:rFonts w:hint="eastAsia"/>
          <w:sz w:val="24"/>
          <w:szCs w:val="24"/>
        </w:rPr>
        <w:t>：</w:t>
      </w:r>
    </w:p>
    <w:p w14:paraId="350325E5">
      <w:pPr>
        <w:pStyle w:val="32"/>
        <w:numPr>
          <w:ilvl w:val="0"/>
          <w:numId w:val="3"/>
        </w:numPr>
        <w:ind w:firstLineChars="0"/>
        <w:rPr>
          <w:sz w:val="24"/>
          <w:szCs w:val="24"/>
        </w:rPr>
      </w:pPr>
      <w:r>
        <w:rPr>
          <w:rFonts w:hint="eastAsia"/>
          <w:sz w:val="24"/>
          <w:szCs w:val="24"/>
        </w:rPr>
        <w:t>提供乙方在清洗服务中所需水、电及其他必须的实施。</w:t>
      </w:r>
    </w:p>
    <w:p w14:paraId="0521536A">
      <w:pPr>
        <w:pStyle w:val="32"/>
        <w:numPr>
          <w:ilvl w:val="0"/>
          <w:numId w:val="3"/>
        </w:numPr>
        <w:ind w:firstLineChars="0"/>
        <w:rPr>
          <w:sz w:val="24"/>
          <w:szCs w:val="24"/>
        </w:rPr>
      </w:pPr>
      <w:r>
        <w:rPr>
          <w:rFonts w:hint="eastAsia"/>
          <w:sz w:val="24"/>
          <w:szCs w:val="24"/>
        </w:rPr>
        <w:t>施工时，甲方委派一名工作人员作为本合同的现场负责人，负责联系、协调、验收乙方的工作，并对乙方的工作进行监督和检查，并对乙方服务工作验收单进行签字确认。</w:t>
      </w:r>
    </w:p>
    <w:p w14:paraId="2DF7748B">
      <w:pPr>
        <w:pStyle w:val="32"/>
        <w:numPr>
          <w:ilvl w:val="0"/>
          <w:numId w:val="3"/>
        </w:numPr>
        <w:ind w:firstLineChars="0"/>
        <w:rPr>
          <w:sz w:val="24"/>
          <w:szCs w:val="24"/>
        </w:rPr>
      </w:pPr>
      <w:r>
        <w:rPr>
          <w:rFonts w:hint="eastAsia"/>
          <w:sz w:val="24"/>
          <w:szCs w:val="24"/>
        </w:rPr>
        <w:t>甲方根据合同的服务事项内容及要求，检查乙方的工作质量，并有权督促乙方整改。</w:t>
      </w:r>
    </w:p>
    <w:p w14:paraId="3FB2D273">
      <w:pPr>
        <w:pStyle w:val="32"/>
        <w:numPr>
          <w:ilvl w:val="0"/>
          <w:numId w:val="3"/>
        </w:numPr>
        <w:ind w:firstLineChars="0"/>
        <w:rPr>
          <w:sz w:val="24"/>
          <w:szCs w:val="24"/>
        </w:rPr>
      </w:pPr>
      <w:r>
        <w:rPr>
          <w:rFonts w:hint="eastAsia"/>
          <w:sz w:val="24"/>
          <w:szCs w:val="24"/>
        </w:rPr>
        <w:t>按合同约定支付各项费用。</w:t>
      </w:r>
    </w:p>
    <w:p w14:paraId="40F463B8">
      <w:pPr>
        <w:pStyle w:val="32"/>
        <w:ind w:left="780" w:firstLine="0" w:firstLineChars="0"/>
        <w:rPr>
          <w:sz w:val="24"/>
          <w:szCs w:val="24"/>
        </w:rPr>
      </w:pPr>
    </w:p>
    <w:p w14:paraId="7C751806">
      <w:pPr>
        <w:pStyle w:val="32"/>
        <w:numPr>
          <w:ilvl w:val="0"/>
          <w:numId w:val="2"/>
        </w:numPr>
        <w:ind w:firstLineChars="0"/>
        <w:rPr>
          <w:sz w:val="24"/>
          <w:szCs w:val="24"/>
        </w:rPr>
      </w:pPr>
      <w:r>
        <w:rPr>
          <w:rFonts w:hint="eastAsia"/>
          <w:b/>
          <w:sz w:val="24"/>
          <w:szCs w:val="24"/>
        </w:rPr>
        <w:t>乙方权利与义务</w:t>
      </w:r>
      <w:r>
        <w:rPr>
          <w:rFonts w:hint="eastAsia"/>
          <w:sz w:val="24"/>
          <w:szCs w:val="24"/>
        </w:rPr>
        <w:t>：</w:t>
      </w:r>
    </w:p>
    <w:p w14:paraId="37F8E65C">
      <w:pPr>
        <w:pStyle w:val="32"/>
        <w:numPr>
          <w:ilvl w:val="0"/>
          <w:numId w:val="4"/>
        </w:numPr>
        <w:ind w:firstLineChars="0"/>
        <w:rPr>
          <w:sz w:val="24"/>
          <w:szCs w:val="24"/>
        </w:rPr>
      </w:pPr>
      <w:r>
        <w:rPr>
          <w:rFonts w:hint="eastAsia"/>
          <w:sz w:val="24"/>
          <w:szCs w:val="24"/>
        </w:rPr>
        <w:t>清洗后由第三方水质检测机构检测，检测费由乙方承担。</w:t>
      </w:r>
    </w:p>
    <w:p w14:paraId="38615BB3">
      <w:pPr>
        <w:pStyle w:val="32"/>
        <w:numPr>
          <w:ilvl w:val="0"/>
          <w:numId w:val="4"/>
        </w:numPr>
        <w:ind w:firstLineChars="0"/>
        <w:rPr>
          <w:sz w:val="24"/>
          <w:szCs w:val="24"/>
        </w:rPr>
      </w:pPr>
      <w:r>
        <w:rPr>
          <w:rFonts w:hint="eastAsia"/>
          <w:sz w:val="24"/>
          <w:szCs w:val="24"/>
        </w:rPr>
        <w:t>乙方应按本合同的要求提供服务，确保水箱清洗后内部清洁、无污垢，水质符合国家饮用水标准。</w:t>
      </w:r>
    </w:p>
    <w:p w14:paraId="7FC44A39">
      <w:pPr>
        <w:pStyle w:val="32"/>
        <w:numPr>
          <w:ilvl w:val="0"/>
          <w:numId w:val="4"/>
        </w:numPr>
        <w:ind w:firstLineChars="0"/>
        <w:rPr>
          <w:sz w:val="24"/>
          <w:szCs w:val="24"/>
        </w:rPr>
      </w:pPr>
      <w:r>
        <w:rPr>
          <w:rFonts w:hint="eastAsia"/>
          <w:sz w:val="24"/>
          <w:szCs w:val="24"/>
        </w:rPr>
        <w:t>提供清洗所需设备、工具及消耗材料，并保证使用的清洁消毒剂等材料符合国家有关产品质量及环境的标准。</w:t>
      </w:r>
    </w:p>
    <w:p w14:paraId="7CF98363">
      <w:pPr>
        <w:pStyle w:val="32"/>
        <w:numPr>
          <w:ilvl w:val="0"/>
          <w:numId w:val="4"/>
        </w:numPr>
        <w:ind w:firstLineChars="0"/>
        <w:rPr>
          <w:sz w:val="24"/>
          <w:szCs w:val="24"/>
        </w:rPr>
      </w:pPr>
      <w:r>
        <w:rPr>
          <w:rFonts w:hint="eastAsia"/>
          <w:sz w:val="24"/>
          <w:szCs w:val="24"/>
        </w:rPr>
        <w:t>乙方完成清洁消毒后，应于当天将采集的水样送达第三方检测机构检测，因水质检验、水箱清洗因素而引起的不良后果，由乙方承担责任。</w:t>
      </w:r>
    </w:p>
    <w:p w14:paraId="3C633506">
      <w:pPr>
        <w:pStyle w:val="32"/>
        <w:numPr>
          <w:ilvl w:val="0"/>
          <w:numId w:val="4"/>
        </w:numPr>
        <w:ind w:firstLineChars="0"/>
        <w:rPr>
          <w:sz w:val="24"/>
          <w:szCs w:val="24"/>
        </w:rPr>
      </w:pPr>
      <w:r>
        <w:rPr>
          <w:rFonts w:hint="eastAsia"/>
          <w:sz w:val="24"/>
          <w:szCs w:val="24"/>
        </w:rPr>
        <w:t>乙方员工在清洗过程中发生的一切事故均由乙方负责。</w:t>
      </w:r>
    </w:p>
    <w:p w14:paraId="03AE9598">
      <w:pPr>
        <w:pStyle w:val="32"/>
        <w:numPr>
          <w:ilvl w:val="0"/>
          <w:numId w:val="4"/>
        </w:numPr>
        <w:ind w:firstLineChars="0"/>
        <w:rPr>
          <w:sz w:val="24"/>
          <w:szCs w:val="24"/>
        </w:rPr>
      </w:pPr>
      <w:r>
        <w:rPr>
          <w:rFonts w:hint="eastAsia"/>
          <w:sz w:val="24"/>
          <w:szCs w:val="24"/>
        </w:rPr>
        <w:t>乙方员工需提供健康证复印件。</w:t>
      </w:r>
    </w:p>
    <w:p w14:paraId="759838D1">
      <w:pPr>
        <w:pStyle w:val="32"/>
        <w:ind w:left="780" w:firstLine="0" w:firstLineChars="0"/>
        <w:rPr>
          <w:sz w:val="24"/>
          <w:szCs w:val="24"/>
        </w:rPr>
      </w:pPr>
    </w:p>
    <w:p w14:paraId="485383BF">
      <w:pPr>
        <w:pStyle w:val="32"/>
        <w:numPr>
          <w:ilvl w:val="0"/>
          <w:numId w:val="2"/>
        </w:numPr>
        <w:ind w:firstLineChars="0"/>
        <w:rPr>
          <w:sz w:val="24"/>
          <w:szCs w:val="24"/>
        </w:rPr>
      </w:pPr>
      <w:r>
        <w:rPr>
          <w:rFonts w:hint="eastAsia"/>
          <w:b/>
          <w:sz w:val="24"/>
          <w:szCs w:val="24"/>
        </w:rPr>
        <w:t>违约责任</w:t>
      </w:r>
      <w:r>
        <w:rPr>
          <w:rFonts w:hint="eastAsia"/>
          <w:sz w:val="24"/>
          <w:szCs w:val="24"/>
        </w:rPr>
        <w:t>：</w:t>
      </w:r>
    </w:p>
    <w:p w14:paraId="1A0D5A59">
      <w:pPr>
        <w:pStyle w:val="32"/>
        <w:ind w:left="780" w:firstLine="0" w:firstLineChars="0"/>
        <w:rPr>
          <w:sz w:val="24"/>
          <w:szCs w:val="24"/>
        </w:rPr>
      </w:pPr>
      <w:r>
        <w:rPr>
          <w:sz w:val="24"/>
          <w:szCs w:val="24"/>
        </w:rPr>
        <w:t>1、甲方逾期支付合同款的，甲方向乙方每日偿付欠款总额万分之二的违约金。</w:t>
      </w:r>
      <w:r>
        <w:rPr>
          <w:rFonts w:hint="eastAsia"/>
          <w:sz w:val="24"/>
          <w:szCs w:val="24"/>
        </w:rPr>
        <w:br w:type="textWrapping"/>
      </w:r>
      <w:r>
        <w:rPr>
          <w:rFonts w:hint="eastAsia"/>
          <w:sz w:val="24"/>
          <w:szCs w:val="24"/>
        </w:rPr>
        <w:t>2、乙方提供的服务不符合合同约定或甲方要求的，甲方有权要求乙方限期改正，如乙方未在甲方指定期限内改正的，甲方有权解除合同并有权按合同金额的30%要求乙方支付违约金。</w:t>
      </w:r>
    </w:p>
    <w:p w14:paraId="02E50BCF">
      <w:pPr>
        <w:pStyle w:val="32"/>
        <w:numPr>
          <w:ilvl w:val="0"/>
          <w:numId w:val="2"/>
        </w:numPr>
        <w:ind w:firstLineChars="0"/>
        <w:rPr>
          <w:sz w:val="24"/>
          <w:szCs w:val="24"/>
        </w:rPr>
      </w:pPr>
      <w:r>
        <w:rPr>
          <w:rFonts w:hint="eastAsia"/>
          <w:b/>
          <w:sz w:val="24"/>
          <w:szCs w:val="24"/>
        </w:rPr>
        <w:t>其它</w:t>
      </w:r>
      <w:r>
        <w:rPr>
          <w:rFonts w:hint="eastAsia"/>
          <w:sz w:val="24"/>
          <w:szCs w:val="24"/>
        </w:rPr>
        <w:t>：</w:t>
      </w:r>
    </w:p>
    <w:p w14:paraId="69E57CCB">
      <w:pPr>
        <w:pStyle w:val="32"/>
        <w:numPr>
          <w:ilvl w:val="0"/>
          <w:numId w:val="5"/>
        </w:numPr>
        <w:ind w:firstLineChars="0"/>
        <w:rPr>
          <w:sz w:val="24"/>
          <w:szCs w:val="24"/>
        </w:rPr>
      </w:pPr>
      <w:r>
        <w:rPr>
          <w:rFonts w:hint="eastAsia"/>
          <w:sz w:val="24"/>
          <w:szCs w:val="24"/>
        </w:rPr>
        <w:t>如因不可抗力因素，导致合同无法履行，则双方合同自行解除。</w:t>
      </w:r>
    </w:p>
    <w:p w14:paraId="3069581F">
      <w:pPr>
        <w:pStyle w:val="32"/>
        <w:numPr>
          <w:ilvl w:val="0"/>
          <w:numId w:val="5"/>
        </w:numPr>
        <w:ind w:firstLineChars="0"/>
        <w:rPr>
          <w:sz w:val="24"/>
          <w:szCs w:val="24"/>
        </w:rPr>
      </w:pPr>
      <w:r>
        <w:rPr>
          <w:rFonts w:hint="eastAsia"/>
          <w:sz w:val="24"/>
          <w:szCs w:val="24"/>
        </w:rPr>
        <w:t>甲乙双方就履行本合同发生纠纷时，应通过协商解决，协商解决不成的，可依法向甲方所在地法院起诉</w:t>
      </w:r>
      <w:bookmarkStart w:id="2" w:name="_GoBack"/>
      <w:bookmarkEnd w:id="2"/>
      <w:r>
        <w:rPr>
          <w:rFonts w:hint="eastAsia"/>
          <w:sz w:val="24"/>
          <w:szCs w:val="24"/>
        </w:rPr>
        <w:t>。</w:t>
      </w:r>
    </w:p>
    <w:p w14:paraId="5366AEAD">
      <w:pPr>
        <w:pStyle w:val="13"/>
        <w:keepNext w:val="0"/>
        <w:keepLines w:val="0"/>
        <w:pageBreakBefore w:val="0"/>
        <w:shd w:val="clear" w:color="auto" w:fill="FFFFFF"/>
        <w:kinsoku/>
        <w:wordWrap/>
        <w:overflowPunct/>
        <w:topLinePunct w:val="0"/>
        <w:bidi w:val="0"/>
        <w:spacing w:before="0" w:beforeAutospacing="0" w:after="0" w:afterAutospacing="0" w:line="400" w:lineRule="exact"/>
        <w:ind w:left="141" w:leftChars="67" w:firstLine="566" w:firstLineChars="236"/>
        <w:rPr>
          <w:rFonts w:hint="eastAsia"/>
          <w:sz w:val="24"/>
          <w:szCs w:val="24"/>
        </w:rPr>
      </w:pPr>
      <w:r>
        <w:rPr>
          <w:rFonts w:hint="eastAsia"/>
          <w:sz w:val="24"/>
          <w:szCs w:val="24"/>
        </w:rPr>
        <w:t>本合同一式</w:t>
      </w:r>
      <w:r>
        <w:rPr>
          <w:rFonts w:hint="eastAsia"/>
          <w:sz w:val="24"/>
          <w:szCs w:val="24"/>
          <w:lang w:val="en-US" w:eastAsia="zh-CN"/>
        </w:rPr>
        <w:t>肆</w:t>
      </w:r>
      <w:r>
        <w:rPr>
          <w:rFonts w:hint="eastAsia"/>
          <w:sz w:val="24"/>
          <w:szCs w:val="24"/>
        </w:rPr>
        <w:t>份，甲乙双方各执</w:t>
      </w:r>
      <w:r>
        <w:rPr>
          <w:rFonts w:hint="eastAsia"/>
          <w:sz w:val="24"/>
          <w:szCs w:val="24"/>
          <w:lang w:val="en-US" w:eastAsia="zh-CN"/>
        </w:rPr>
        <w:t>贰</w:t>
      </w:r>
      <w:r>
        <w:rPr>
          <w:rFonts w:hint="eastAsia"/>
          <w:sz w:val="24"/>
          <w:szCs w:val="24"/>
        </w:rPr>
        <w:t>份，签字盖章后生效。</w:t>
      </w:r>
    </w:p>
    <w:p w14:paraId="38C47F48">
      <w:pPr>
        <w:pStyle w:val="13"/>
        <w:keepNext w:val="0"/>
        <w:keepLines w:val="0"/>
        <w:pageBreakBefore w:val="0"/>
        <w:shd w:val="clear" w:color="auto" w:fill="FFFFFF"/>
        <w:kinsoku/>
        <w:wordWrap/>
        <w:overflowPunct/>
        <w:topLinePunct w:val="0"/>
        <w:bidi w:val="0"/>
        <w:spacing w:before="0" w:beforeAutospacing="0" w:after="0" w:afterAutospacing="0" w:line="400" w:lineRule="exact"/>
        <w:ind w:left="141" w:leftChars="67" w:firstLine="566" w:firstLineChars="236"/>
        <w:rPr>
          <w:rFonts w:hint="eastAsia"/>
          <w:sz w:val="24"/>
          <w:szCs w:val="24"/>
        </w:rPr>
      </w:pPr>
    </w:p>
    <w:p w14:paraId="0C3B398A">
      <w:pPr>
        <w:pStyle w:val="13"/>
        <w:keepNext w:val="0"/>
        <w:keepLines w:val="0"/>
        <w:pageBreakBefore w:val="0"/>
        <w:shd w:val="clear" w:color="auto" w:fill="FFFFFF"/>
        <w:kinsoku/>
        <w:wordWrap/>
        <w:overflowPunct/>
        <w:topLinePunct w:val="0"/>
        <w:bidi w:val="0"/>
        <w:spacing w:before="0" w:beforeAutospacing="0" w:after="0" w:afterAutospacing="0" w:line="400" w:lineRule="exact"/>
        <w:ind w:left="141" w:leftChars="67" w:firstLine="566" w:firstLineChars="236"/>
        <w:rPr>
          <w:rFonts w:hint="default"/>
          <w:sz w:val="24"/>
          <w:szCs w:val="24"/>
        </w:rPr>
      </w:pPr>
    </w:p>
    <w:tbl>
      <w:tblPr>
        <w:tblStyle w:val="15"/>
        <w:tblpPr w:leftFromText="180" w:rightFromText="180" w:vertAnchor="text" w:horzAnchor="page" w:tblpX="1576" w:tblpY="395"/>
        <w:tblOverlap w:val="never"/>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67"/>
        <w:gridCol w:w="4467"/>
      </w:tblGrid>
      <w:tr w14:paraId="0ED7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4467" w:type="dxa"/>
            <w:tcBorders>
              <w:top w:val="nil"/>
              <w:left w:val="nil"/>
              <w:bottom w:val="nil"/>
              <w:right w:val="nil"/>
            </w:tcBorders>
            <w:noWrap w:val="0"/>
            <w:vAlign w:val="top"/>
          </w:tcPr>
          <w:p w14:paraId="0BDFE79B">
            <w:pPr>
              <w:keepNext w:val="0"/>
              <w:keepLines w:val="0"/>
              <w:pageBreakBefore w:val="0"/>
              <w:kinsoku/>
              <w:wordWrap/>
              <w:overflowPunct/>
              <w:topLinePunct w:val="0"/>
              <w:bidi w:val="0"/>
              <w:spacing w:line="400" w:lineRule="exact"/>
              <w:textAlignment w:val="auto"/>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val="en-US" w:eastAsia="zh-CN"/>
              </w:rPr>
              <w:t>甲</w:t>
            </w:r>
            <w:r>
              <w:rPr>
                <w:rFonts w:hint="default" w:ascii="Times New Roman" w:hAnsi="Times New Roman" w:eastAsia="仿宋_GB2312" w:cs="Times New Roman"/>
                <w:color w:val="auto"/>
                <w:kern w:val="0"/>
                <w:sz w:val="24"/>
                <w:szCs w:val="24"/>
                <w:highlight w:val="none"/>
              </w:rPr>
              <w:t>方：</w:t>
            </w:r>
            <w:r>
              <w:rPr>
                <w:rFonts w:hint="default" w:ascii="Times New Roman" w:hAnsi="Times New Roman" w:eastAsia="仿宋_GB2312" w:cs="Times New Roman"/>
                <w:color w:val="auto"/>
                <w:kern w:val="0"/>
                <w:sz w:val="24"/>
                <w:szCs w:val="24"/>
                <w:highlight w:val="none"/>
                <w:u w:val="single"/>
                <w:lang w:val="en-US" w:eastAsia="zh-CN"/>
              </w:rPr>
              <w:t>浙江中国小商品城集团股份有限公司全球数贸中心分公司</w:t>
            </w:r>
          </w:p>
        </w:tc>
        <w:tc>
          <w:tcPr>
            <w:tcW w:w="4467" w:type="dxa"/>
            <w:tcBorders>
              <w:top w:val="nil"/>
              <w:left w:val="nil"/>
              <w:bottom w:val="nil"/>
              <w:right w:val="nil"/>
            </w:tcBorders>
            <w:noWrap w:val="0"/>
            <w:vAlign w:val="top"/>
          </w:tcPr>
          <w:p w14:paraId="28928B7E">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0"/>
                <w:sz w:val="24"/>
                <w:szCs w:val="24"/>
                <w:highlight w:val="none"/>
                <w:u w:val="single"/>
                <w:lang w:val="en-US" w:eastAsia="zh-CN"/>
              </w:rPr>
            </w:pPr>
            <w:r>
              <w:rPr>
                <w:rFonts w:hint="default" w:ascii="Times New Roman" w:hAnsi="Times New Roman" w:eastAsia="仿宋_GB2312" w:cs="Times New Roman"/>
                <w:color w:val="auto"/>
                <w:kern w:val="0"/>
                <w:sz w:val="24"/>
                <w:szCs w:val="24"/>
                <w:highlight w:val="none"/>
                <w:lang w:val="en-US" w:eastAsia="zh-CN"/>
              </w:rPr>
              <w:t>乙</w:t>
            </w:r>
            <w:r>
              <w:rPr>
                <w:rFonts w:hint="default" w:ascii="Times New Roman" w:hAnsi="Times New Roman" w:eastAsia="仿宋_GB2312" w:cs="Times New Roman"/>
                <w:color w:val="auto"/>
                <w:kern w:val="0"/>
                <w:sz w:val="24"/>
                <w:szCs w:val="24"/>
                <w:highlight w:val="none"/>
              </w:rPr>
              <w:t>方：</w:t>
            </w:r>
            <w:r>
              <w:rPr>
                <w:rFonts w:hint="default" w:ascii="Times New Roman" w:hAnsi="Times New Roman" w:eastAsia="仿宋_GB2312" w:cs="Times New Roman"/>
                <w:color w:val="auto"/>
                <w:kern w:val="0"/>
                <w:sz w:val="24"/>
                <w:highlight w:val="none"/>
                <w:u w:val="single"/>
                <w:lang w:val="en-US" w:eastAsia="zh-CN"/>
              </w:rPr>
              <w:t xml:space="preserve">                            </w:t>
            </w:r>
          </w:p>
        </w:tc>
      </w:tr>
      <w:tr w14:paraId="4C98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4467" w:type="dxa"/>
            <w:tcBorders>
              <w:top w:val="nil"/>
              <w:left w:val="nil"/>
              <w:bottom w:val="nil"/>
              <w:right w:val="nil"/>
            </w:tcBorders>
            <w:noWrap w:val="0"/>
            <w:vAlign w:val="top"/>
          </w:tcPr>
          <w:p w14:paraId="0CF1E022">
            <w:pPr>
              <w:keepNext w:val="0"/>
              <w:keepLines w:val="0"/>
              <w:pageBreakBefore w:val="0"/>
              <w:kinsoku/>
              <w:wordWrap/>
              <w:overflowPunct/>
              <w:topLinePunct w:val="0"/>
              <w:bidi w:val="0"/>
              <w:spacing w:line="400" w:lineRule="exact"/>
              <w:textAlignment w:val="auto"/>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rPr>
              <w:t>地址：</w:t>
            </w:r>
            <w:r>
              <w:rPr>
                <w:rFonts w:hint="eastAsia" w:ascii="Times New Roman" w:hAnsi="Times New Roman" w:eastAsia="仿宋_GB2312" w:cs="Times New Roman"/>
                <w:color w:val="auto"/>
                <w:kern w:val="0"/>
                <w:sz w:val="24"/>
                <w:szCs w:val="24"/>
                <w:highlight w:val="none"/>
                <w:u w:val="single"/>
                <w:lang w:val="en-US" w:eastAsia="zh-CN"/>
              </w:rPr>
              <w:t xml:space="preserve">                             </w:t>
            </w:r>
          </w:p>
        </w:tc>
        <w:tc>
          <w:tcPr>
            <w:tcW w:w="4467" w:type="dxa"/>
            <w:tcBorders>
              <w:top w:val="nil"/>
              <w:left w:val="nil"/>
              <w:bottom w:val="nil"/>
              <w:right w:val="nil"/>
            </w:tcBorders>
            <w:noWrap w:val="0"/>
            <w:vAlign w:val="top"/>
          </w:tcPr>
          <w:p w14:paraId="1CFAF8BD">
            <w:pPr>
              <w:keepNext w:val="0"/>
              <w:keepLines w:val="0"/>
              <w:pageBreakBefore w:val="0"/>
              <w:widowControl/>
              <w:kinsoku/>
              <w:wordWrap/>
              <w:overflowPunct/>
              <w:topLinePunct w:val="0"/>
              <w:bidi w:val="0"/>
              <w:spacing w:line="400" w:lineRule="exact"/>
              <w:jc w:val="lef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rPr>
              <w:t>地址：</w:t>
            </w:r>
            <w:r>
              <w:rPr>
                <w:rFonts w:hint="eastAsia" w:ascii="Times New Roman" w:hAnsi="Times New Roman" w:eastAsia="仿宋_GB2312" w:cs="Times New Roman"/>
                <w:color w:val="auto"/>
                <w:kern w:val="0"/>
                <w:sz w:val="24"/>
                <w:szCs w:val="24"/>
                <w:highlight w:val="none"/>
                <w:u w:val="single"/>
                <w:lang w:val="en-US" w:eastAsia="zh-CN"/>
              </w:rPr>
              <w:t xml:space="preserve">                            </w:t>
            </w:r>
          </w:p>
        </w:tc>
      </w:tr>
      <w:tr w14:paraId="55A5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4467" w:type="dxa"/>
            <w:tcBorders>
              <w:top w:val="nil"/>
              <w:left w:val="nil"/>
              <w:bottom w:val="nil"/>
              <w:right w:val="nil"/>
            </w:tcBorders>
            <w:noWrap w:val="0"/>
            <w:vAlign w:val="top"/>
          </w:tcPr>
          <w:p w14:paraId="67DF3A76">
            <w:pPr>
              <w:keepNext w:val="0"/>
              <w:keepLines w:val="0"/>
              <w:pageBreakBefore w:val="0"/>
              <w:kinsoku/>
              <w:wordWrap/>
              <w:overflowPunct/>
              <w:topLinePunct w:val="0"/>
              <w:bidi w:val="0"/>
              <w:spacing w:line="400" w:lineRule="exact"/>
              <w:textAlignment w:val="auto"/>
              <w:rPr>
                <w:rFonts w:hint="default" w:ascii="Times New Roman" w:hAnsi="Times New Roman" w:eastAsia="仿宋_GB2312" w:cs="Times New Roman"/>
                <w:color w:val="auto"/>
                <w:kern w:val="0"/>
                <w:sz w:val="24"/>
                <w:szCs w:val="24"/>
                <w:highlight w:val="none"/>
                <w:lang w:val="en-US" w:eastAsia="zh-CN" w:bidi="ar-SA"/>
              </w:rPr>
            </w:pPr>
            <w:r>
              <w:rPr>
                <w:rFonts w:hint="eastAsia" w:ascii="Times New Roman" w:hAnsi="Times New Roman" w:eastAsia="仿宋_GB2312" w:cs="Times New Roman"/>
                <w:color w:val="auto"/>
                <w:kern w:val="0"/>
                <w:sz w:val="24"/>
                <w:szCs w:val="24"/>
                <w:highlight w:val="none"/>
                <w:lang w:val="en-US" w:eastAsia="zh-CN"/>
              </w:rPr>
              <w:t>负责人</w:t>
            </w:r>
            <w:r>
              <w:rPr>
                <w:rFonts w:hint="default" w:ascii="Times New Roman" w:hAnsi="Times New Roman" w:eastAsia="仿宋_GB2312" w:cs="Times New Roman"/>
                <w:color w:val="auto"/>
                <w:kern w:val="0"/>
                <w:sz w:val="24"/>
                <w:szCs w:val="24"/>
                <w:highlight w:val="none"/>
              </w:rPr>
              <w:t>：</w:t>
            </w:r>
            <w:r>
              <w:rPr>
                <w:rFonts w:hint="default" w:ascii="Times New Roman" w:hAnsi="Times New Roman" w:eastAsia="仿宋_GB2312" w:cs="Times New Roman"/>
                <w:color w:val="auto"/>
                <w:kern w:val="0"/>
                <w:sz w:val="24"/>
                <w:szCs w:val="24"/>
                <w:highlight w:val="none"/>
                <w:u w:val="single"/>
                <w:lang w:val="en-US" w:eastAsia="zh-CN"/>
              </w:rPr>
              <w:t xml:space="preserve">                </w:t>
            </w:r>
            <w:r>
              <w:rPr>
                <w:rFonts w:hint="eastAsia" w:ascii="Times New Roman" w:hAnsi="Times New Roman" w:eastAsia="仿宋_GB2312" w:cs="Times New Roman"/>
                <w:color w:val="auto"/>
                <w:kern w:val="0"/>
                <w:sz w:val="24"/>
                <w:szCs w:val="24"/>
                <w:highlight w:val="none"/>
                <w:u w:val="single"/>
                <w:lang w:val="en-US" w:eastAsia="zh-CN"/>
              </w:rPr>
              <w:t xml:space="preserve">       </w:t>
            </w:r>
            <w:r>
              <w:rPr>
                <w:rFonts w:hint="default" w:ascii="Times New Roman" w:hAnsi="Times New Roman" w:eastAsia="仿宋_GB2312" w:cs="Times New Roman"/>
                <w:color w:val="auto"/>
                <w:kern w:val="0"/>
                <w:sz w:val="24"/>
                <w:szCs w:val="24"/>
                <w:highlight w:val="none"/>
                <w:u w:val="single"/>
                <w:lang w:val="en-US" w:eastAsia="zh-CN"/>
              </w:rPr>
              <w:t xml:space="preserve">  </w:t>
            </w:r>
          </w:p>
        </w:tc>
        <w:tc>
          <w:tcPr>
            <w:tcW w:w="4467" w:type="dxa"/>
            <w:tcBorders>
              <w:top w:val="nil"/>
              <w:left w:val="nil"/>
              <w:bottom w:val="nil"/>
              <w:right w:val="nil"/>
            </w:tcBorders>
            <w:noWrap w:val="0"/>
            <w:vAlign w:val="top"/>
          </w:tcPr>
          <w:p w14:paraId="601084FA">
            <w:pPr>
              <w:keepNext w:val="0"/>
              <w:keepLines w:val="0"/>
              <w:pageBreakBefore w:val="0"/>
              <w:widowControl/>
              <w:kinsoku/>
              <w:wordWrap/>
              <w:overflowPunct/>
              <w:topLinePunct w:val="0"/>
              <w:bidi w:val="0"/>
              <w:spacing w:line="400" w:lineRule="exact"/>
              <w:jc w:val="left"/>
              <w:rPr>
                <w:rFonts w:hint="default" w:ascii="Times New Roman" w:hAnsi="Times New Roman" w:eastAsia="仿宋_GB2312" w:cs="Times New Roman"/>
                <w:color w:val="auto"/>
                <w:kern w:val="0"/>
                <w:sz w:val="24"/>
                <w:szCs w:val="24"/>
                <w:highlight w:val="none"/>
              </w:rPr>
            </w:pPr>
            <w:r>
              <w:rPr>
                <w:rFonts w:hint="eastAsia" w:ascii="仿宋_GB2312" w:hAnsi="仿宋_GB2312" w:eastAsia="仿宋_GB2312" w:cs="仿宋_GB2312"/>
                <w:color w:val="auto"/>
                <w:kern w:val="0"/>
                <w:sz w:val="24"/>
                <w:szCs w:val="24"/>
                <w:highlight w:val="none"/>
              </w:rPr>
              <w:t>法定代表人</w:t>
            </w:r>
            <w:r>
              <w:rPr>
                <w:rFonts w:hint="eastAsia" w:ascii="仿宋_GB2312" w:hAnsi="仿宋_GB2312" w:eastAsia="仿宋_GB2312" w:cs="仿宋_GB2312"/>
                <w:color w:val="auto"/>
                <w:kern w:val="0"/>
                <w:sz w:val="24"/>
                <w:szCs w:val="24"/>
                <w:highlight w:val="none"/>
                <w:lang w:val="en-US" w:eastAsia="zh-CN"/>
              </w:rPr>
              <w:t>或委托代理人</w:t>
            </w:r>
            <w:r>
              <w:rPr>
                <w:rFonts w:hint="default" w:ascii="Times New Roman" w:hAnsi="Times New Roman" w:eastAsia="仿宋_GB2312" w:cs="Times New Roman"/>
                <w:color w:val="auto"/>
                <w:kern w:val="0"/>
                <w:sz w:val="24"/>
                <w:szCs w:val="24"/>
                <w:highlight w:val="none"/>
              </w:rPr>
              <w:t>：</w:t>
            </w:r>
            <w:r>
              <w:rPr>
                <w:rFonts w:hint="default" w:ascii="Times New Roman" w:hAnsi="Times New Roman" w:eastAsia="仿宋_GB2312" w:cs="Times New Roman"/>
                <w:color w:val="auto"/>
                <w:kern w:val="0"/>
                <w:sz w:val="24"/>
                <w:szCs w:val="24"/>
                <w:highlight w:val="none"/>
                <w:u w:val="single"/>
              </w:rPr>
              <w:t xml:space="preserve">                 </w:t>
            </w:r>
            <w:r>
              <w:rPr>
                <w:rFonts w:hint="eastAsia" w:ascii="Times New Roman" w:hAnsi="Times New Roman" w:eastAsia="仿宋_GB2312" w:cs="Times New Roman"/>
                <w:color w:val="auto"/>
                <w:kern w:val="0"/>
                <w:sz w:val="24"/>
                <w:szCs w:val="24"/>
                <w:highlight w:val="none"/>
                <w:u w:val="single"/>
                <w:lang w:val="en-US" w:eastAsia="zh-CN"/>
              </w:rPr>
              <w:t xml:space="preserve">   </w:t>
            </w:r>
            <w:r>
              <w:rPr>
                <w:rFonts w:hint="default" w:ascii="Times New Roman" w:hAnsi="Times New Roman" w:eastAsia="仿宋_GB2312" w:cs="Times New Roman"/>
                <w:color w:val="auto"/>
                <w:kern w:val="0"/>
                <w:sz w:val="24"/>
                <w:szCs w:val="24"/>
                <w:highlight w:val="none"/>
                <w:u w:val="single"/>
              </w:rPr>
              <w:t xml:space="preserve">    </w:t>
            </w:r>
          </w:p>
        </w:tc>
      </w:tr>
      <w:tr w14:paraId="2FCE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4467" w:type="dxa"/>
            <w:tcBorders>
              <w:top w:val="nil"/>
              <w:left w:val="nil"/>
              <w:bottom w:val="nil"/>
              <w:right w:val="nil"/>
            </w:tcBorders>
            <w:noWrap w:val="0"/>
            <w:vAlign w:val="top"/>
          </w:tcPr>
          <w:p w14:paraId="1DFC63AF">
            <w:pPr>
              <w:keepNext w:val="0"/>
              <w:keepLines w:val="0"/>
              <w:pageBreakBefore w:val="0"/>
              <w:kinsoku/>
              <w:wordWrap/>
              <w:overflowPunct/>
              <w:topLinePunct w:val="0"/>
              <w:bidi w:val="0"/>
              <w:spacing w:line="400" w:lineRule="exact"/>
              <w:textAlignment w:val="auto"/>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rPr>
              <w:t>电话：</w:t>
            </w:r>
            <w:r>
              <w:rPr>
                <w:rFonts w:hint="eastAsia" w:ascii="Times New Roman" w:hAnsi="Times New Roman" w:eastAsia="仿宋_GB2312" w:cs="Times New Roman"/>
                <w:color w:val="auto"/>
                <w:kern w:val="0"/>
                <w:sz w:val="24"/>
                <w:szCs w:val="24"/>
                <w:highlight w:val="none"/>
                <w:u w:val="single"/>
                <w:lang w:val="en-US" w:eastAsia="zh-CN"/>
              </w:rPr>
              <w:t xml:space="preserve">                     </w:t>
            </w:r>
          </w:p>
        </w:tc>
        <w:tc>
          <w:tcPr>
            <w:tcW w:w="4467" w:type="dxa"/>
            <w:tcBorders>
              <w:top w:val="nil"/>
              <w:left w:val="nil"/>
              <w:bottom w:val="nil"/>
              <w:right w:val="nil"/>
            </w:tcBorders>
            <w:noWrap w:val="0"/>
            <w:vAlign w:val="top"/>
          </w:tcPr>
          <w:p w14:paraId="1CD6CE73">
            <w:pPr>
              <w:keepNext w:val="0"/>
              <w:keepLines w:val="0"/>
              <w:pageBreakBefore w:val="0"/>
              <w:widowControl/>
              <w:kinsoku/>
              <w:wordWrap/>
              <w:overflowPunct/>
              <w:topLinePunct w:val="0"/>
              <w:bidi w:val="0"/>
              <w:spacing w:line="400" w:lineRule="exact"/>
              <w:jc w:val="left"/>
              <w:rPr>
                <w:rFonts w:hint="default" w:ascii="Times New Roman" w:hAnsi="Times New Roman" w:eastAsia="仿宋_GB2312" w:cs="Times New Roman"/>
                <w:color w:val="auto"/>
                <w:kern w:val="0"/>
                <w:sz w:val="24"/>
                <w:szCs w:val="24"/>
                <w:highlight w:val="none"/>
                <w:lang w:val="en-US" w:eastAsia="zh-CN"/>
              </w:rPr>
            </w:pPr>
            <w:r>
              <w:rPr>
                <w:rFonts w:hint="default" w:ascii="Times New Roman" w:hAnsi="Times New Roman" w:eastAsia="仿宋_GB2312" w:cs="Times New Roman"/>
                <w:color w:val="auto"/>
                <w:kern w:val="0"/>
                <w:sz w:val="24"/>
                <w:szCs w:val="24"/>
                <w:highlight w:val="none"/>
              </w:rPr>
              <w:t>电话：</w:t>
            </w:r>
            <w:r>
              <w:rPr>
                <w:rFonts w:hint="default" w:ascii="Times New Roman" w:hAnsi="Times New Roman" w:eastAsia="仿宋_GB2312" w:cs="Times New Roman"/>
                <w:color w:val="auto"/>
                <w:kern w:val="0"/>
                <w:sz w:val="24"/>
                <w:szCs w:val="24"/>
                <w:highlight w:val="none"/>
                <w:u w:val="single"/>
              </w:rPr>
              <w:t xml:space="preserve"> </w:t>
            </w:r>
            <w:r>
              <w:rPr>
                <w:rFonts w:hint="eastAsia" w:ascii="Times New Roman" w:hAnsi="Times New Roman" w:eastAsia="仿宋_GB2312" w:cs="Times New Roman"/>
                <w:color w:val="auto"/>
                <w:kern w:val="0"/>
                <w:sz w:val="24"/>
                <w:szCs w:val="24"/>
                <w:highlight w:val="none"/>
                <w:u w:val="single"/>
                <w:lang w:val="en-US" w:eastAsia="zh-CN"/>
              </w:rPr>
              <w:t xml:space="preserve">                  </w:t>
            </w:r>
          </w:p>
        </w:tc>
      </w:tr>
      <w:tr w14:paraId="6364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4467" w:type="dxa"/>
            <w:tcBorders>
              <w:top w:val="nil"/>
              <w:left w:val="nil"/>
              <w:bottom w:val="nil"/>
              <w:right w:val="nil"/>
            </w:tcBorders>
            <w:noWrap w:val="0"/>
            <w:vAlign w:val="top"/>
          </w:tcPr>
          <w:p w14:paraId="0DD50B4F">
            <w:pPr>
              <w:keepNext w:val="0"/>
              <w:keepLines w:val="0"/>
              <w:pageBreakBefore w:val="0"/>
              <w:kinsoku/>
              <w:wordWrap/>
              <w:overflowPunct/>
              <w:topLinePunct w:val="0"/>
              <w:bidi w:val="0"/>
              <w:spacing w:line="400" w:lineRule="exact"/>
              <w:textAlignment w:val="auto"/>
              <w:rPr>
                <w:rFonts w:hint="default" w:ascii="Times New Roman" w:hAnsi="Times New Roman" w:eastAsia="仿宋_GB2312" w:cs="Times New Roman"/>
                <w:color w:val="auto"/>
                <w:kern w:val="0"/>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rPr>
              <w:t>签约地点：</w:t>
            </w:r>
            <w:r>
              <w:rPr>
                <w:rFonts w:hint="default" w:ascii="Times New Roman" w:hAnsi="Times New Roman" w:eastAsia="仿宋_GB2312" w:cs="Times New Roman"/>
                <w:color w:val="auto"/>
                <w:kern w:val="0"/>
                <w:sz w:val="24"/>
                <w:szCs w:val="24"/>
                <w:highlight w:val="none"/>
                <w:u w:val="single"/>
                <w:lang w:val="en-US" w:eastAsia="zh-CN"/>
              </w:rPr>
              <w:t>浙江省义乌市</w:t>
            </w:r>
          </w:p>
        </w:tc>
        <w:tc>
          <w:tcPr>
            <w:tcW w:w="4467" w:type="dxa"/>
            <w:tcBorders>
              <w:top w:val="nil"/>
              <w:left w:val="nil"/>
              <w:bottom w:val="nil"/>
              <w:right w:val="nil"/>
            </w:tcBorders>
            <w:noWrap w:val="0"/>
            <w:vAlign w:val="top"/>
          </w:tcPr>
          <w:p w14:paraId="4892C04A">
            <w:pPr>
              <w:keepNext w:val="0"/>
              <w:keepLines w:val="0"/>
              <w:pageBreakBefore w:val="0"/>
              <w:widowControl/>
              <w:kinsoku/>
              <w:wordWrap/>
              <w:overflowPunct/>
              <w:topLinePunct w:val="0"/>
              <w:bidi w:val="0"/>
              <w:spacing w:line="400" w:lineRule="exact"/>
              <w:jc w:val="left"/>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签约时间：</w:t>
            </w:r>
            <w:r>
              <w:rPr>
                <w:rFonts w:hint="default" w:ascii="Times New Roman" w:hAnsi="Times New Roman" w:eastAsia="仿宋_GB2312" w:cs="Times New Roman"/>
                <w:color w:val="auto"/>
                <w:kern w:val="0"/>
                <w:sz w:val="24"/>
                <w:szCs w:val="24"/>
                <w:highlight w:val="none"/>
                <w:u w:val="single"/>
              </w:rPr>
              <w:t xml:space="preserve">                </w:t>
            </w:r>
            <w:r>
              <w:rPr>
                <w:rFonts w:hint="eastAsia" w:ascii="Times New Roman" w:hAnsi="Times New Roman" w:eastAsia="仿宋_GB2312" w:cs="Times New Roman"/>
                <w:color w:val="auto"/>
                <w:kern w:val="0"/>
                <w:sz w:val="24"/>
                <w:szCs w:val="24"/>
                <w:highlight w:val="none"/>
                <w:u w:val="single"/>
                <w:lang w:val="en-US" w:eastAsia="zh-CN"/>
              </w:rPr>
              <w:t xml:space="preserve">   </w:t>
            </w:r>
            <w:r>
              <w:rPr>
                <w:rFonts w:hint="default" w:ascii="Times New Roman" w:hAnsi="Times New Roman" w:eastAsia="仿宋_GB2312" w:cs="Times New Roman"/>
                <w:color w:val="auto"/>
                <w:kern w:val="0"/>
                <w:sz w:val="24"/>
                <w:szCs w:val="24"/>
                <w:highlight w:val="none"/>
                <w:u w:val="single"/>
              </w:rPr>
              <w:t xml:space="preserve">     </w:t>
            </w:r>
          </w:p>
        </w:tc>
      </w:tr>
    </w:tbl>
    <w:p w14:paraId="7E0C4DC9">
      <w:pPr>
        <w:keepNext w:val="0"/>
        <w:keepLines w:val="0"/>
        <w:pageBreakBefore w:val="0"/>
        <w:kinsoku/>
        <w:wordWrap/>
        <w:overflowPunct/>
        <w:topLinePunct w:val="0"/>
        <w:bidi w:val="0"/>
        <w:spacing w:line="440" w:lineRule="exact"/>
        <w:rPr>
          <w:rFonts w:hint="default" w:ascii="Times New Roman" w:hAnsi="Times New Roman" w:eastAsia="仿宋_GB2312" w:cs="Times New Roman"/>
          <w:lang w:val="en-US" w:eastAsia="zh-CN"/>
        </w:rPr>
      </w:pPr>
    </w:p>
    <w:sectPr>
      <w:pgSz w:w="11906" w:h="16838"/>
      <w:pgMar w:top="1531" w:right="1361" w:bottom="153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35DC04-8688-4710-8142-6FF0E12ABCF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ECE04AB-2BF8-4C4E-98A4-770F0153E405}"/>
  </w:font>
  <w:font w:name="方正小标宋简体">
    <w:panose1 w:val="02000000000000000000"/>
    <w:charset w:val="86"/>
    <w:family w:val="script"/>
    <w:pitch w:val="default"/>
    <w:sig w:usb0="00000001" w:usb1="08000000" w:usb2="00000000" w:usb3="00000000" w:csb0="00040000" w:csb1="00000000"/>
    <w:embedRegular r:id="rId3" w:fontKey="{763BF698-AE76-4419-B1E5-1E91CC099459}"/>
  </w:font>
  <w:font w:name="方正仿宋_GB2312">
    <w:panose1 w:val="02000000000000000000"/>
    <w:charset w:val="86"/>
    <w:family w:val="auto"/>
    <w:pitch w:val="default"/>
    <w:sig w:usb0="A00002BF" w:usb1="184F6CFA" w:usb2="00000012" w:usb3="00000000" w:csb0="00040001" w:csb1="00000000"/>
    <w:embedRegular r:id="rId4" w:fontKey="{7DE3DB91-F8FD-41D2-9B2C-E37821DC4AC5}"/>
  </w:font>
  <w:font w:name="WPSEMBED1">
    <w:panose1 w:val="02010609030101010101"/>
    <w:charset w:val="86"/>
    <w:family w:val="auto"/>
    <w:pitch w:val="default"/>
    <w:sig w:usb0="00000001" w:usb1="080E0000" w:usb2="00000000" w:usb3="00000000" w:csb0="00040000" w:csb1="00000000"/>
  </w:font>
  <w:font w:name="icon-dev">
    <w:altName w:val="AMGDT"/>
    <w:panose1 w:val="00000000000000000000"/>
    <w:charset w:val="00"/>
    <w:family w:val="auto"/>
    <w:pitch w:val="default"/>
    <w:sig w:usb0="00000000" w:usb1="00000000" w:usb2="00000000" w:usb3="00000000" w:csb0="00000000" w:csb1="00000000"/>
  </w:font>
  <w:font w:name="anticon">
    <w:altName w:val="AMGDT"/>
    <w:panose1 w:val="00000000000000000000"/>
    <w:charset w:val="00"/>
    <w:family w:val="auto"/>
    <w:pitch w:val="default"/>
    <w:sig w:usb0="00000000" w:usb1="00000000" w:usb2="00000000" w:usb3="00000000" w:csb0="00000000" w:csb1="00000000"/>
  </w:font>
  <w:font w:name="menu">
    <w:altName w:val="AMGDT"/>
    <w:panose1 w:val="00000000000000000000"/>
    <w:charset w:val="00"/>
    <w:family w:val="auto"/>
    <w:pitch w:val="default"/>
    <w:sig w:usb0="00000000" w:usb1="00000000" w:usb2="00000000" w:usb3="00000000" w:csb0="00000000" w:csb1="00000000"/>
  </w:font>
  <w:font w:name="icon-portal">
    <w:altName w:val="AMGDT"/>
    <w:panose1 w:val="00000000000000000000"/>
    <w:charset w:val="00"/>
    <w:family w:val="auto"/>
    <w:pitch w:val="default"/>
    <w:sig w:usb0="00000000" w:usb1="00000000" w:usb2="00000000" w:usb3="00000000" w:csb0="00000000" w:csb1="00000000"/>
  </w:font>
  <w:font w:name="icon-coms">
    <w:altName w:val="AMGDT"/>
    <w:panose1 w:val="00000000000000000000"/>
    <w:charset w:val="00"/>
    <w:family w:val="auto"/>
    <w:pitch w:val="default"/>
    <w:sig w:usb0="00000000" w:usb1="00000000" w:usb2="00000000" w:usb3="00000000" w:csb0="00000000" w:csb1="00000000"/>
  </w:font>
  <w:font w:name="icon-coms02">
    <w:altName w:val="AMGDT"/>
    <w:panose1 w:val="00000000000000000000"/>
    <w:charset w:val="00"/>
    <w:family w:val="auto"/>
    <w:pitch w:val="default"/>
    <w:sig w:usb0="00000000" w:usb1="00000000" w:usb2="00000000" w:usb3="00000000" w:csb0="00000000" w:csb1="00000000"/>
  </w:font>
  <w:font w:name="wevicon">
    <w:altName w:val="AMGDT"/>
    <w:panose1 w:val="00000000000000000000"/>
    <w:charset w:val="00"/>
    <w:family w:val="auto"/>
    <w:pitch w:val="default"/>
    <w:sig w:usb0="00000000" w:usb1="00000000" w:usb2="00000000" w:usb3="00000000" w:csb0="00000000" w:csb1="00000000"/>
  </w:font>
  <w:font w:name="Icon-coms03">
    <w:altName w:val="AMGDT"/>
    <w:panose1 w:val="00000000000000000000"/>
    <w:charset w:val="00"/>
    <w:family w:val="auto"/>
    <w:pitch w:val="default"/>
    <w:sig w:usb0="00000000" w:usb1="00000000" w:usb2="00000000" w:usb3="00000000" w:csb0="00000000" w:csb1="00000000"/>
  </w:font>
  <w:font w:name="icon-workflow">
    <w:altName w:val="AMGDT"/>
    <w:panose1 w:val="00000000000000000000"/>
    <w:charset w:val="00"/>
    <w:family w:val="auto"/>
    <w:pitch w:val="default"/>
    <w:sig w:usb0="00000000" w:usb1="00000000" w:usb2="00000000" w:usb3="00000000" w:csb0="00000000" w:csb1="00000000"/>
  </w:font>
  <w:font w:name="conform-rule">
    <w:altName w:val="AMGDT"/>
    <w:panose1 w:val="00000000000000000000"/>
    <w:charset w:val="00"/>
    <w:family w:val="auto"/>
    <w:pitch w:val="default"/>
    <w:sig w:usb0="00000000" w:usb1="00000000" w:usb2="00000000" w:usb3="00000000" w:csb0="00000000" w:csb1="00000000"/>
  </w:font>
  <w:font w:name="icon-cooperation">
    <w:altName w:val="AMGDT"/>
    <w:panose1 w:val="00000000000000000000"/>
    <w:charset w:val="00"/>
    <w:family w:val="auto"/>
    <w:pitch w:val="default"/>
    <w:sig w:usb0="00000000" w:usb1="00000000" w:usb2="00000000" w:usb3="00000000" w:csb0="00000000" w:csb1="00000000"/>
  </w:font>
  <w:font w:name="icon-report">
    <w:altName w:val="AMGD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 w:name="仿宋">
    <w:panose1 w:val="02010609060101010101"/>
    <w:charset w:val="86"/>
    <w:family w:val="auto"/>
    <w:pitch w:val="default"/>
    <w:sig w:usb0="800002BF" w:usb1="38CF7CFA" w:usb2="00000016" w:usb3="00000000" w:csb0="00040001" w:csb1="00000000"/>
  </w:font>
  <w:font w:name="AMGDT">
    <w:panose1 w:val="02000400000000000000"/>
    <w:charset w:val="00"/>
    <w:family w:val="auto"/>
    <w:pitch w:val="default"/>
    <w:sig w:usb0="80000003"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630A2E"/>
    <w:multiLevelType w:val="multilevel"/>
    <w:tmpl w:val="28630A2E"/>
    <w:lvl w:ilvl="0" w:tentative="0">
      <w:start w:val="1"/>
      <w:numFmt w:val="chineseCountingThousand"/>
      <w:pStyle w:val="2"/>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pStyle w:val="5"/>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1">
    <w:nsid w:val="3183193C"/>
    <w:multiLevelType w:val="multilevel"/>
    <w:tmpl w:val="3183193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66A23270"/>
    <w:multiLevelType w:val="multilevel"/>
    <w:tmpl w:val="66A2327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6AAB714A"/>
    <w:multiLevelType w:val="multilevel"/>
    <w:tmpl w:val="6AAB714A"/>
    <w:lvl w:ilvl="0" w:tentative="0">
      <w:start w:val="5"/>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CCB6916"/>
    <w:multiLevelType w:val="multilevel"/>
    <w:tmpl w:val="6CCB691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mYWQ3NzFmODAxOTYyZWY4MDA5NWQ3YTc5MzMyMjYifQ=="/>
  </w:docVars>
  <w:rsids>
    <w:rsidRoot w:val="7B137217"/>
    <w:rsid w:val="003F37D4"/>
    <w:rsid w:val="012433B5"/>
    <w:rsid w:val="016C2D4F"/>
    <w:rsid w:val="01AC3774"/>
    <w:rsid w:val="01C14A9E"/>
    <w:rsid w:val="04593CE4"/>
    <w:rsid w:val="06674FAA"/>
    <w:rsid w:val="08DD09D6"/>
    <w:rsid w:val="08F17FDE"/>
    <w:rsid w:val="0A4C4C1A"/>
    <w:rsid w:val="0A8261ED"/>
    <w:rsid w:val="0A951569"/>
    <w:rsid w:val="0BF7346A"/>
    <w:rsid w:val="0C0224B0"/>
    <w:rsid w:val="0D3D7C96"/>
    <w:rsid w:val="0E5C320C"/>
    <w:rsid w:val="0EE93957"/>
    <w:rsid w:val="11401E2C"/>
    <w:rsid w:val="11C07D61"/>
    <w:rsid w:val="12135469"/>
    <w:rsid w:val="185531DF"/>
    <w:rsid w:val="1AA3379C"/>
    <w:rsid w:val="1C691CC9"/>
    <w:rsid w:val="1D5675C9"/>
    <w:rsid w:val="1DD767B6"/>
    <w:rsid w:val="1DD81E72"/>
    <w:rsid w:val="1E4F5A7B"/>
    <w:rsid w:val="1F530C45"/>
    <w:rsid w:val="1F737547"/>
    <w:rsid w:val="2184167F"/>
    <w:rsid w:val="21CE6705"/>
    <w:rsid w:val="21FC3364"/>
    <w:rsid w:val="22B67E76"/>
    <w:rsid w:val="23C25BE2"/>
    <w:rsid w:val="23FA7130"/>
    <w:rsid w:val="24021E97"/>
    <w:rsid w:val="26093577"/>
    <w:rsid w:val="26DE799C"/>
    <w:rsid w:val="2A1751C8"/>
    <w:rsid w:val="2C72188C"/>
    <w:rsid w:val="2D8D7DDC"/>
    <w:rsid w:val="2E1F0FC6"/>
    <w:rsid w:val="2EFF1945"/>
    <w:rsid w:val="2F1A71DB"/>
    <w:rsid w:val="31230DCD"/>
    <w:rsid w:val="312A7176"/>
    <w:rsid w:val="31FB3663"/>
    <w:rsid w:val="321C7D56"/>
    <w:rsid w:val="338C4487"/>
    <w:rsid w:val="33BF1F83"/>
    <w:rsid w:val="34CE79C3"/>
    <w:rsid w:val="35C93901"/>
    <w:rsid w:val="35D25868"/>
    <w:rsid w:val="366D02D5"/>
    <w:rsid w:val="36A22655"/>
    <w:rsid w:val="371F3DE4"/>
    <w:rsid w:val="372F67F4"/>
    <w:rsid w:val="37F31E0F"/>
    <w:rsid w:val="392714BB"/>
    <w:rsid w:val="3A1523AF"/>
    <w:rsid w:val="3C045836"/>
    <w:rsid w:val="3C0765B5"/>
    <w:rsid w:val="3C8475CB"/>
    <w:rsid w:val="3FE62C8E"/>
    <w:rsid w:val="3FEE473A"/>
    <w:rsid w:val="40194B13"/>
    <w:rsid w:val="408C50D8"/>
    <w:rsid w:val="41C31810"/>
    <w:rsid w:val="434626F9"/>
    <w:rsid w:val="45FA7D5B"/>
    <w:rsid w:val="46852F0E"/>
    <w:rsid w:val="46C5127E"/>
    <w:rsid w:val="477E6905"/>
    <w:rsid w:val="4ACF603C"/>
    <w:rsid w:val="4BF75423"/>
    <w:rsid w:val="4D862070"/>
    <w:rsid w:val="4F3C1E3A"/>
    <w:rsid w:val="4FB07775"/>
    <w:rsid w:val="51BC2AE3"/>
    <w:rsid w:val="528B0128"/>
    <w:rsid w:val="536D3B65"/>
    <w:rsid w:val="53764934"/>
    <w:rsid w:val="53894668"/>
    <w:rsid w:val="54A35BFD"/>
    <w:rsid w:val="5621327D"/>
    <w:rsid w:val="57060F64"/>
    <w:rsid w:val="58D629C4"/>
    <w:rsid w:val="59CA5544"/>
    <w:rsid w:val="5BF84A80"/>
    <w:rsid w:val="5C9347A9"/>
    <w:rsid w:val="5CAA0F94"/>
    <w:rsid w:val="603B1A37"/>
    <w:rsid w:val="603F7919"/>
    <w:rsid w:val="60B3746C"/>
    <w:rsid w:val="62BE3C02"/>
    <w:rsid w:val="635B3031"/>
    <w:rsid w:val="647A167B"/>
    <w:rsid w:val="66E14AF4"/>
    <w:rsid w:val="66F45E44"/>
    <w:rsid w:val="66FF5A92"/>
    <w:rsid w:val="67F92C4D"/>
    <w:rsid w:val="68651C06"/>
    <w:rsid w:val="69AC67DC"/>
    <w:rsid w:val="6B282F97"/>
    <w:rsid w:val="6B36638D"/>
    <w:rsid w:val="6BD9362C"/>
    <w:rsid w:val="6C623524"/>
    <w:rsid w:val="6C670665"/>
    <w:rsid w:val="6D67650E"/>
    <w:rsid w:val="6F9059BC"/>
    <w:rsid w:val="6FCF01E5"/>
    <w:rsid w:val="6FEF0E67"/>
    <w:rsid w:val="70D8681E"/>
    <w:rsid w:val="71267542"/>
    <w:rsid w:val="72720E38"/>
    <w:rsid w:val="72A21342"/>
    <w:rsid w:val="73E060CE"/>
    <w:rsid w:val="740F4917"/>
    <w:rsid w:val="74341F76"/>
    <w:rsid w:val="76831CEB"/>
    <w:rsid w:val="775A2C17"/>
    <w:rsid w:val="775E5C88"/>
    <w:rsid w:val="77737259"/>
    <w:rsid w:val="78FE0A2F"/>
    <w:rsid w:val="79863274"/>
    <w:rsid w:val="79B85A3F"/>
    <w:rsid w:val="7AA57063"/>
    <w:rsid w:val="7AD8037C"/>
    <w:rsid w:val="7B137217"/>
    <w:rsid w:val="7B27154B"/>
    <w:rsid w:val="7B9652C4"/>
    <w:rsid w:val="7C5B3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after="330" w:afterLines="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6"/>
    <w:basedOn w:val="1"/>
    <w:next w:val="1"/>
    <w:qFormat/>
    <w:uiPriority w:val="0"/>
    <w:pPr>
      <w:keepNext/>
      <w:keepLines/>
      <w:numPr>
        <w:ilvl w:val="5"/>
        <w:numId w:val="1"/>
      </w:numPr>
      <w:spacing w:before="240" w:beforeLines="0" w:after="64" w:afterLines="0" w:line="320" w:lineRule="auto"/>
      <w:outlineLvl w:val="5"/>
    </w:pPr>
    <w:rPr>
      <w:rFonts w:ascii="Arial" w:hAnsi="Arial" w:eastAsia="黑体"/>
      <w:b/>
      <w:bCs/>
      <w:sz w:val="24"/>
    </w:rPr>
  </w:style>
  <w:style w:type="character" w:default="1" w:styleId="17">
    <w:name w:val="Default Paragraph Font"/>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6">
    <w:name w:val="Body Text"/>
    <w:basedOn w:val="1"/>
    <w:next w:val="7"/>
    <w:qFormat/>
    <w:uiPriority w:val="0"/>
    <w:pPr>
      <w:jc w:val="center"/>
    </w:pPr>
    <w:rPr>
      <w:rFonts w:ascii="宋体" w:hAnsi="宋体"/>
      <w:b/>
      <w:bCs/>
      <w:color w:val="000000"/>
      <w:sz w:val="72"/>
      <w:szCs w:val="20"/>
    </w:rPr>
  </w:style>
  <w:style w:type="paragraph" w:styleId="7">
    <w:name w:val="Body Text First Indent"/>
    <w:basedOn w:val="6"/>
    <w:next w:val="1"/>
    <w:qFormat/>
    <w:uiPriority w:val="99"/>
    <w:pPr>
      <w:spacing w:after="120"/>
      <w:ind w:firstLine="210"/>
      <w:jc w:val="both"/>
    </w:pPr>
    <w:rPr>
      <w:b w:val="0"/>
      <w:bCs w:val="0"/>
      <w:sz w:val="21"/>
      <w:szCs w:val="21"/>
    </w:rPr>
  </w:style>
  <w:style w:type="paragraph" w:styleId="8">
    <w:name w:val="Body Text Indent"/>
    <w:basedOn w:val="1"/>
    <w:semiHidden/>
    <w:unhideWhenUsed/>
    <w:qFormat/>
    <w:uiPriority w:val="99"/>
    <w:pPr>
      <w:spacing w:after="120"/>
      <w:ind w:left="420" w:leftChars="200"/>
    </w:pPr>
  </w:style>
  <w:style w:type="paragraph" w:styleId="9">
    <w:name w:val="List Continue"/>
    <w:basedOn w:val="1"/>
    <w:qFormat/>
    <w:uiPriority w:val="0"/>
    <w:pPr>
      <w:spacing w:after="120"/>
      <w:ind w:left="420"/>
    </w:pPr>
  </w:style>
  <w:style w:type="paragraph" w:styleId="10">
    <w:name w:val="Plain Text"/>
    <w:basedOn w:val="1"/>
    <w:next w:val="1"/>
    <w:autoRedefine/>
    <w:qFormat/>
    <w:uiPriority w:val="0"/>
    <w:rPr>
      <w:rFonts w:ascii="宋体" w:hAnsi="Courier New"/>
      <w:sz w:val="24"/>
    </w:r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toc 6"/>
    <w:basedOn w:val="1"/>
    <w:next w:val="1"/>
    <w:qFormat/>
    <w:uiPriority w:val="0"/>
    <w:pPr>
      <w:ind w:left="2100" w:leftChars="1000"/>
    </w:pPr>
    <w:rPr>
      <w:rFonts w:ascii="Calibri" w:hAnsi="Calibri" w:eastAsia="宋体" w:cs="Times New Roman"/>
      <w:szCs w:val="22"/>
    </w:rPr>
  </w:style>
  <w:style w:type="paragraph" w:styleId="13">
    <w:name w:val="Normal (Web)"/>
    <w:basedOn w:val="1"/>
    <w:qFormat/>
    <w:uiPriority w:val="0"/>
    <w:pPr>
      <w:widowControl/>
      <w:spacing w:before="100" w:beforeAutospacing="1" w:after="100" w:afterAutospacing="1"/>
      <w:ind w:firstLine="480"/>
      <w:jc w:val="left"/>
    </w:pPr>
    <w:rPr>
      <w:rFonts w:ascii="宋体" w:hAnsi="宋体" w:cs="宋体"/>
      <w:kern w:val="0"/>
      <w:sz w:val="24"/>
    </w:rPr>
  </w:style>
  <w:style w:type="paragraph" w:styleId="14">
    <w:name w:val="Body Text First Indent 2"/>
    <w:basedOn w:val="8"/>
    <w:next w:val="1"/>
    <w:qFormat/>
    <w:uiPriority w:val="0"/>
    <w:pPr>
      <w:ind w:firstLine="420"/>
    </w:pPr>
    <w:rPr>
      <w:kern w:val="1"/>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bCs/>
    </w:rPr>
  </w:style>
  <w:style w:type="character" w:styleId="19">
    <w:name w:val="FollowedHyperlink"/>
    <w:basedOn w:val="17"/>
    <w:uiPriority w:val="0"/>
    <w:rPr>
      <w:color w:val="4D7AD8"/>
      <w:u w:val="none"/>
    </w:rPr>
  </w:style>
  <w:style w:type="character" w:styleId="20">
    <w:name w:val="HTML Definition"/>
    <w:basedOn w:val="17"/>
    <w:uiPriority w:val="0"/>
    <w:rPr>
      <w:i/>
      <w:iCs/>
    </w:rPr>
  </w:style>
  <w:style w:type="character" w:styleId="21">
    <w:name w:val="Hyperlink"/>
    <w:basedOn w:val="17"/>
    <w:uiPriority w:val="0"/>
    <w:rPr>
      <w:color w:val="4D7AD8"/>
      <w:u w:val="none"/>
    </w:rPr>
  </w:style>
  <w:style w:type="character" w:styleId="22">
    <w:name w:val="HTML Code"/>
    <w:basedOn w:val="17"/>
    <w:uiPriority w:val="0"/>
    <w:rPr>
      <w:rFonts w:hint="default" w:ascii="Consolas" w:hAnsi="Consolas" w:eastAsia="Consolas" w:cs="Consolas"/>
      <w:sz w:val="21"/>
      <w:szCs w:val="21"/>
    </w:rPr>
  </w:style>
  <w:style w:type="character" w:styleId="23">
    <w:name w:val="HTML Keyboard"/>
    <w:basedOn w:val="17"/>
    <w:uiPriority w:val="0"/>
    <w:rPr>
      <w:rFonts w:ascii="Consolas" w:hAnsi="Consolas" w:eastAsia="Consolas" w:cs="Consolas"/>
      <w:sz w:val="21"/>
      <w:szCs w:val="21"/>
    </w:rPr>
  </w:style>
  <w:style w:type="character" w:styleId="24">
    <w:name w:val="HTML Sample"/>
    <w:basedOn w:val="17"/>
    <w:uiPriority w:val="0"/>
    <w:rPr>
      <w:rFonts w:hint="default" w:ascii="Consolas" w:hAnsi="Consolas" w:eastAsia="Consolas" w:cs="Consolas"/>
      <w:sz w:val="21"/>
      <w:szCs w:val="21"/>
    </w:rPr>
  </w:style>
  <w:style w:type="character" w:customStyle="1" w:styleId="25">
    <w:name w:val="font11"/>
    <w:autoRedefine/>
    <w:qFormat/>
    <w:uiPriority w:val="0"/>
    <w:rPr>
      <w:rFonts w:hint="eastAsia" w:ascii="宋体" w:hAnsi="宋体" w:eastAsia="宋体"/>
      <w:color w:val="FF0000"/>
      <w:sz w:val="28"/>
      <w:szCs w:val="28"/>
      <w:u w:val="none"/>
    </w:rPr>
  </w:style>
  <w:style w:type="paragraph" w:customStyle="1" w:styleId="26">
    <w:name w:val="首行缩进"/>
    <w:basedOn w:val="1"/>
    <w:next w:val="9"/>
    <w:qFormat/>
    <w:uiPriority w:val="0"/>
    <w:pPr>
      <w:spacing w:line="360" w:lineRule="auto"/>
      <w:ind w:firstLine="480" w:firstLineChars="200"/>
    </w:pPr>
    <w:rPr>
      <w:sz w:val="24"/>
      <w:lang w:val="zh-CN"/>
    </w:rPr>
  </w:style>
  <w:style w:type="paragraph" w:customStyle="1" w:styleId="27">
    <w:name w:val="正文0"/>
    <w:qFormat/>
    <w:uiPriority w:val="0"/>
    <w:pPr>
      <w:widowControl w:val="0"/>
      <w:spacing w:line="360" w:lineRule="auto"/>
      <w:ind w:firstLine="200" w:firstLineChars="200"/>
      <w:jc w:val="both"/>
    </w:pPr>
    <w:rPr>
      <w:rFonts w:ascii="仿宋_GB2312" w:hAnsi="Calibri" w:eastAsia="仿宋_GB2312" w:cs="Times New Roman"/>
      <w:kern w:val="2"/>
      <w:sz w:val="28"/>
      <w:szCs w:val="24"/>
      <w:lang w:val="en-US" w:eastAsia="zh-CN" w:bidi="ar-SA"/>
    </w:rPr>
  </w:style>
  <w:style w:type="paragraph" w:customStyle="1" w:styleId="28">
    <w:name w:val="**正文"/>
    <w:basedOn w:val="1"/>
    <w:qFormat/>
    <w:uiPriority w:val="0"/>
    <w:pPr>
      <w:spacing w:line="380" w:lineRule="exact"/>
      <w:ind w:firstLine="200" w:firstLineChars="200"/>
      <w:jc w:val="left"/>
    </w:pPr>
    <w:rPr>
      <w:szCs w:val="20"/>
    </w:rPr>
  </w:style>
  <w:style w:type="paragraph" w:customStyle="1" w:styleId="29">
    <w:name w:val="表"/>
    <w:basedOn w:val="1"/>
    <w:qFormat/>
    <w:uiPriority w:val="0"/>
    <w:pPr>
      <w:adjustRightInd w:val="0"/>
      <w:snapToGrid w:val="0"/>
      <w:spacing w:line="312" w:lineRule="auto"/>
    </w:pPr>
  </w:style>
  <w:style w:type="paragraph" w:customStyle="1" w:styleId="30">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1">
    <w:name w:val="font41"/>
    <w:basedOn w:val="17"/>
    <w:qFormat/>
    <w:uiPriority w:val="0"/>
    <w:rPr>
      <w:rFonts w:hint="eastAsia" w:ascii="宋体" w:hAnsi="宋体" w:eastAsia="宋体" w:cs="宋体"/>
      <w:color w:val="000000"/>
      <w:sz w:val="21"/>
      <w:szCs w:val="21"/>
      <w:u w:val="single"/>
    </w:rPr>
  </w:style>
  <w:style w:type="paragraph" w:styleId="32">
    <w:name w:val="List Paragraph"/>
    <w:basedOn w:val="1"/>
    <w:qFormat/>
    <w:uiPriority w:val="34"/>
    <w:pPr>
      <w:ind w:firstLine="420" w:firstLineChars="200"/>
    </w:pPr>
  </w:style>
  <w:style w:type="character" w:customStyle="1" w:styleId="33">
    <w:name w:val="codemirror-selectedtext"/>
    <w:basedOn w:val="17"/>
    <w:uiPriority w:val="0"/>
  </w:style>
  <w:style w:type="character" w:customStyle="1" w:styleId="34">
    <w:name w:val="button"/>
    <w:basedOn w:val="17"/>
    <w:uiPriority w:val="0"/>
    <w:rPr>
      <w:bdr w:val="none" w:color="auto" w:sz="0" w:space="0"/>
    </w:rPr>
  </w:style>
  <w:style w:type="character" w:customStyle="1" w:styleId="35">
    <w:name w:val="cm-header"/>
    <w:basedOn w:val="17"/>
    <w:uiPriority w:val="0"/>
    <w:rPr>
      <w:color w:val="AE81FF"/>
    </w:rPr>
  </w:style>
  <w:style w:type="character" w:customStyle="1" w:styleId="36">
    <w:name w:val="codemirror-nonmatchingbracket"/>
    <w:basedOn w:val="17"/>
    <w:uiPriority w:val="0"/>
    <w:rPr>
      <w:color w:val="AA2222"/>
    </w:rPr>
  </w:style>
  <w:style w:type="character" w:customStyle="1" w:styleId="37">
    <w:name w:val="cm-link4"/>
    <w:basedOn w:val="17"/>
    <w:uiPriority w:val="0"/>
    <w:rPr>
      <w:color w:val="221199"/>
    </w:rPr>
  </w:style>
  <w:style w:type="character" w:customStyle="1" w:styleId="38">
    <w:name w:val="cm-builtin"/>
    <w:basedOn w:val="17"/>
    <w:uiPriority w:val="0"/>
    <w:rPr>
      <w:color w:val="3300AA"/>
    </w:rPr>
  </w:style>
  <w:style w:type="character" w:customStyle="1" w:styleId="39">
    <w:name w:val="cm-builtin1"/>
    <w:basedOn w:val="17"/>
    <w:uiPriority w:val="0"/>
    <w:rPr>
      <w:color w:val="776622"/>
    </w:rPr>
  </w:style>
  <w:style w:type="character" w:customStyle="1" w:styleId="40">
    <w:name w:val="cm-builtin2"/>
    <w:basedOn w:val="17"/>
    <w:uiPriority w:val="0"/>
    <w:rPr>
      <w:color w:val="AE81FF"/>
      <w:bdr w:val="single" w:color="F8F8F0" w:sz="6" w:space="0"/>
    </w:rPr>
  </w:style>
  <w:style w:type="character" w:customStyle="1" w:styleId="41">
    <w:name w:val="cm-builtin3"/>
    <w:basedOn w:val="17"/>
    <w:uiPriority w:val="0"/>
    <w:rPr>
      <w:color w:val="845DC4"/>
      <w:bdr w:val="single" w:color="FFFFFF" w:sz="6" w:space="0"/>
    </w:rPr>
  </w:style>
  <w:style w:type="character" w:customStyle="1" w:styleId="42">
    <w:name w:val="ant-radio+*"/>
    <w:basedOn w:val="17"/>
    <w:uiPriority w:val="0"/>
  </w:style>
  <w:style w:type="character" w:customStyle="1" w:styleId="43">
    <w:name w:val="cm-variable"/>
    <w:basedOn w:val="17"/>
    <w:uiPriority w:val="0"/>
    <w:rPr>
      <w:color w:val="000000"/>
    </w:rPr>
  </w:style>
  <w:style w:type="character" w:customStyle="1" w:styleId="44">
    <w:name w:val="cm-variable1"/>
    <w:basedOn w:val="17"/>
    <w:uiPriority w:val="0"/>
    <w:rPr>
      <w:color w:val="000000"/>
    </w:rPr>
  </w:style>
  <w:style w:type="character" w:customStyle="1" w:styleId="45">
    <w:name w:val="cm-variable2"/>
    <w:basedOn w:val="17"/>
    <w:uiPriority w:val="0"/>
    <w:rPr>
      <w:color w:val="F8F8F2"/>
    </w:rPr>
  </w:style>
  <w:style w:type="character" w:customStyle="1" w:styleId="46">
    <w:name w:val="passed-node"/>
    <w:basedOn w:val="17"/>
    <w:uiPriority w:val="0"/>
    <w:rPr>
      <w:bdr w:val="single" w:color="49A8D4" w:sz="6" w:space="0"/>
      <w:shd w:val="clear" w:fill="A9E3FF"/>
    </w:rPr>
  </w:style>
  <w:style w:type="character" w:customStyle="1" w:styleId="47">
    <w:name w:val="wea-thumbnails-doc-content-subtitle"/>
    <w:basedOn w:val="17"/>
    <w:uiPriority w:val="0"/>
    <w:rPr>
      <w:color w:val="9A9A9A"/>
    </w:rPr>
  </w:style>
  <w:style w:type="character" w:customStyle="1" w:styleId="48">
    <w:name w:val="hover37"/>
    <w:basedOn w:val="17"/>
    <w:uiPriority w:val="0"/>
    <w:rPr>
      <w:color w:val="009DFF"/>
    </w:rPr>
  </w:style>
  <w:style w:type="character" w:customStyle="1" w:styleId="49">
    <w:name w:val="hover38"/>
    <w:basedOn w:val="17"/>
    <w:uiPriority w:val="0"/>
    <w:rPr>
      <w:color w:val="009DFF"/>
    </w:rPr>
  </w:style>
  <w:style w:type="character" w:customStyle="1" w:styleId="50">
    <w:name w:val="cm-string3"/>
    <w:basedOn w:val="17"/>
    <w:uiPriority w:val="0"/>
    <w:rPr>
      <w:color w:val="2A00FF"/>
    </w:rPr>
  </w:style>
  <w:style w:type="character" w:customStyle="1" w:styleId="51">
    <w:name w:val="first-of-type"/>
    <w:basedOn w:val="17"/>
    <w:uiPriority w:val="0"/>
    <w:rPr>
      <w:color w:val="FF0000"/>
    </w:rPr>
  </w:style>
  <w:style w:type="character" w:customStyle="1" w:styleId="52">
    <w:name w:val="first-of-type1"/>
    <w:basedOn w:val="17"/>
    <w:uiPriority w:val="0"/>
    <w:rPr>
      <w:color w:val="FF0000"/>
    </w:rPr>
  </w:style>
  <w:style w:type="character" w:customStyle="1" w:styleId="53">
    <w:name w:val="first-of-type2"/>
    <w:basedOn w:val="17"/>
    <w:uiPriority w:val="0"/>
    <w:rPr>
      <w:color w:val="FF0000"/>
    </w:rPr>
  </w:style>
  <w:style w:type="character" w:customStyle="1" w:styleId="54">
    <w:name w:val="cm-number"/>
    <w:basedOn w:val="17"/>
    <w:uiPriority w:val="0"/>
    <w:rPr>
      <w:color w:val="116644"/>
    </w:rPr>
  </w:style>
  <w:style w:type="character" w:customStyle="1" w:styleId="55">
    <w:name w:val="isrevision"/>
    <w:basedOn w:val="17"/>
    <w:uiPriority w:val="0"/>
    <w:rPr>
      <w:color w:val="000000"/>
      <w:sz w:val="18"/>
      <w:szCs w:val="18"/>
      <w:bdr w:val="single" w:color="E9E9E9" w:sz="6" w:space="0"/>
      <w:shd w:val="clear" w:fill="FFFFFF"/>
    </w:rPr>
  </w:style>
  <w:style w:type="character" w:customStyle="1" w:styleId="56">
    <w:name w:val="current-node"/>
    <w:basedOn w:val="17"/>
    <w:uiPriority w:val="0"/>
    <w:rPr>
      <w:bdr w:val="single" w:color="F5B87B" w:sz="6" w:space="0"/>
      <w:shd w:val="clear" w:fill="FFE8CC"/>
    </w:rPr>
  </w:style>
  <w:style w:type="character" w:customStyle="1" w:styleId="57">
    <w:name w:val="cm-meta"/>
    <w:basedOn w:val="17"/>
    <w:uiPriority w:val="0"/>
    <w:rPr>
      <w:color w:val="FF1717"/>
    </w:rPr>
  </w:style>
  <w:style w:type="character" w:customStyle="1" w:styleId="58">
    <w:name w:val="cm-meta1"/>
    <w:basedOn w:val="17"/>
    <w:uiPriority w:val="0"/>
    <w:rPr>
      <w:i/>
      <w:iCs/>
      <w:color w:val="776622"/>
    </w:rPr>
  </w:style>
  <w:style w:type="character" w:customStyle="1" w:styleId="59">
    <w:name w:val="cm-meta2"/>
    <w:basedOn w:val="17"/>
    <w:uiPriority w:val="0"/>
    <w:rPr>
      <w:color w:val="37F14A"/>
    </w:rPr>
  </w:style>
  <w:style w:type="character" w:customStyle="1" w:styleId="60">
    <w:name w:val="cm-error4"/>
    <w:basedOn w:val="17"/>
    <w:uiPriority w:val="0"/>
    <w:rPr>
      <w:color w:val="FF0000"/>
    </w:rPr>
  </w:style>
  <w:style w:type="character" w:customStyle="1" w:styleId="61">
    <w:name w:val="cm-keyword"/>
    <w:basedOn w:val="17"/>
    <w:uiPriority w:val="0"/>
    <w:rPr>
      <w:b/>
      <w:bCs/>
      <w:color w:val="7F0055"/>
    </w:rPr>
  </w:style>
  <w:style w:type="character" w:customStyle="1" w:styleId="62">
    <w:name w:val="cm-keyword1"/>
    <w:basedOn w:val="17"/>
    <w:uiPriority w:val="0"/>
    <w:rPr>
      <w:color w:val="773300"/>
      <w:shd w:val="clear" w:fill="FFDDDD"/>
    </w:rPr>
  </w:style>
  <w:style w:type="character" w:customStyle="1" w:styleId="63">
    <w:name w:val="cm-keyword2"/>
    <w:basedOn w:val="17"/>
    <w:uiPriority w:val="0"/>
    <w:rPr>
      <w:color w:val="F8F8F0"/>
      <w:shd w:val="clear" w:fill="F92672"/>
    </w:rPr>
  </w:style>
  <w:style w:type="character" w:customStyle="1" w:styleId="64">
    <w:name w:val="cm-keyword3"/>
    <w:basedOn w:val="17"/>
    <w:uiPriority w:val="0"/>
    <w:rPr>
      <w:color w:val="9D1E15"/>
    </w:rPr>
  </w:style>
  <w:style w:type="character" w:customStyle="1" w:styleId="65">
    <w:name w:val="cm-string-2"/>
    <w:basedOn w:val="17"/>
    <w:uiPriority w:val="0"/>
    <w:rPr>
      <w:color w:val="FF5500"/>
    </w:rPr>
  </w:style>
  <w:style w:type="character" w:customStyle="1" w:styleId="66">
    <w:name w:val="tmpztreemove_arrow"/>
    <w:basedOn w:val="17"/>
    <w:uiPriority w:val="0"/>
    <w:rPr>
      <w:bdr w:val="none" w:color="auto" w:sz="0" w:space="0"/>
    </w:rPr>
  </w:style>
  <w:style w:type="character" w:customStyle="1" w:styleId="67">
    <w:name w:val="disabled"/>
    <w:basedOn w:val="17"/>
    <w:uiPriority w:val="0"/>
    <w:rPr>
      <w:color w:val="AAAAAA"/>
      <w:shd w:val="clear" w:fill="F7F7F7"/>
    </w:rPr>
  </w:style>
  <w:style w:type="character" w:customStyle="1" w:styleId="68">
    <w:name w:val="cm-special"/>
    <w:basedOn w:val="17"/>
    <w:uiPriority w:val="0"/>
    <w:rPr>
      <w:color w:val="FF9E59"/>
    </w:rPr>
  </w:style>
  <w:style w:type="character" w:customStyle="1" w:styleId="69">
    <w:name w:val="cm-bracket2"/>
    <w:basedOn w:val="17"/>
    <w:uiPriority w:val="0"/>
    <w:rPr>
      <w:color w:val="CCCC77"/>
    </w:rPr>
  </w:style>
  <w:style w:type="character" w:customStyle="1" w:styleId="70">
    <w:name w:val="cm-bracket3"/>
    <w:basedOn w:val="17"/>
    <w:uiPriority w:val="0"/>
    <w:rPr>
      <w:color w:val="F8F8F2"/>
    </w:rPr>
  </w:style>
  <w:style w:type="character" w:customStyle="1" w:styleId="71">
    <w:name w:val="cm-bracket4"/>
    <w:basedOn w:val="17"/>
    <w:uiPriority w:val="0"/>
    <w:rPr>
      <w:color w:val="8DA6CE"/>
    </w:rPr>
  </w:style>
  <w:style w:type="character" w:customStyle="1" w:styleId="72">
    <w:name w:val="cm-atom4"/>
    <w:basedOn w:val="17"/>
    <w:uiPriority w:val="0"/>
    <w:rPr>
      <w:color w:val="221199"/>
    </w:rPr>
  </w:style>
  <w:style w:type="character" w:customStyle="1" w:styleId="73">
    <w:name w:val="cm-atom5"/>
    <w:basedOn w:val="17"/>
    <w:uiPriority w:val="0"/>
    <w:rPr>
      <w:color w:val="776622"/>
    </w:rPr>
  </w:style>
  <w:style w:type="character" w:customStyle="1" w:styleId="74">
    <w:name w:val="cm-property"/>
    <w:basedOn w:val="17"/>
    <w:uiPriority w:val="0"/>
    <w:rPr>
      <w:color w:val="000000"/>
    </w:rPr>
  </w:style>
  <w:style w:type="character" w:customStyle="1" w:styleId="75">
    <w:name w:val="ant-table-row-expand-icon"/>
    <w:basedOn w:val="17"/>
    <w:uiPriority w:val="0"/>
    <w:rPr>
      <w:vanish/>
    </w:rPr>
  </w:style>
  <w:style w:type="character" w:customStyle="1" w:styleId="76">
    <w:name w:val="cm-def4"/>
    <w:basedOn w:val="17"/>
    <w:uiPriority w:val="0"/>
    <w:rPr>
      <w:color w:val="0000FF"/>
    </w:rPr>
  </w:style>
  <w:style w:type="character" w:customStyle="1" w:styleId="77">
    <w:name w:val="cm-def5"/>
    <w:basedOn w:val="17"/>
    <w:uiPriority w:val="0"/>
    <w:rPr>
      <w:color w:val="AE81FF"/>
    </w:rPr>
  </w:style>
  <w:style w:type="character" w:customStyle="1" w:styleId="78">
    <w:name w:val="cm-def6"/>
    <w:basedOn w:val="17"/>
    <w:uiPriority w:val="0"/>
    <w:rPr>
      <w:color w:val="845DC4"/>
    </w:rPr>
  </w:style>
  <w:style w:type="character" w:customStyle="1" w:styleId="79">
    <w:name w:val="ant-tree-checkbox10"/>
    <w:basedOn w:val="17"/>
    <w:uiPriority w:val="0"/>
  </w:style>
  <w:style w:type="character" w:customStyle="1" w:styleId="80">
    <w:name w:val="ant-tree-iconele"/>
    <w:basedOn w:val="17"/>
    <w:uiPriority w:val="0"/>
    <w:rPr>
      <w:bdr w:val="none" w:color="auto" w:sz="0" w:space="0"/>
    </w:rPr>
  </w:style>
  <w:style w:type="character" w:customStyle="1" w:styleId="81">
    <w:name w:val="ant-select-tree-switcher"/>
    <w:basedOn w:val="17"/>
    <w:uiPriority w:val="0"/>
    <w:rPr>
      <w:bdr w:val="none" w:color="auto" w:sz="0" w:space="0"/>
    </w:rPr>
  </w:style>
  <w:style w:type="character" w:customStyle="1" w:styleId="82">
    <w:name w:val="auto-pass-node"/>
    <w:basedOn w:val="17"/>
    <w:uiPriority w:val="0"/>
    <w:rPr>
      <w:bdr w:val="single" w:color="DC4446" w:sz="6" w:space="0"/>
      <w:shd w:val="clear" w:fill="A9E2FF"/>
    </w:rPr>
  </w:style>
  <w:style w:type="character" w:customStyle="1" w:styleId="83">
    <w:name w:val="cm-variable-34"/>
    <w:basedOn w:val="17"/>
    <w:uiPriority w:val="0"/>
    <w:rPr>
      <w:color w:val="0000C0"/>
    </w:rPr>
  </w:style>
  <w:style w:type="character" w:customStyle="1" w:styleId="84">
    <w:name w:val="cm-variable-35"/>
    <w:basedOn w:val="17"/>
    <w:uiPriority w:val="0"/>
    <w:rPr>
      <w:color w:val="66D9EF"/>
    </w:rPr>
  </w:style>
  <w:style w:type="character" w:customStyle="1" w:styleId="85">
    <w:name w:val="cm-variable-36"/>
    <w:basedOn w:val="17"/>
    <w:uiPriority w:val="0"/>
    <w:rPr>
      <w:color w:val="FFFFFF"/>
    </w:rPr>
  </w:style>
  <w:style w:type="character" w:customStyle="1" w:styleId="86">
    <w:name w:val="cm-tag4"/>
    <w:basedOn w:val="17"/>
    <w:uiPriority w:val="0"/>
    <w:rPr>
      <w:color w:val="117700"/>
    </w:rPr>
  </w:style>
  <w:style w:type="character" w:customStyle="1" w:styleId="87">
    <w:name w:val="cm-tag5"/>
    <w:basedOn w:val="17"/>
    <w:uiPriority w:val="0"/>
    <w:rPr>
      <w:color w:val="F92672"/>
    </w:rPr>
  </w:style>
  <w:style w:type="character" w:customStyle="1" w:styleId="88">
    <w:name w:val="cm-tag6"/>
    <w:basedOn w:val="17"/>
    <w:uiPriority w:val="0"/>
    <w:rPr>
      <w:color w:val="99B2FF"/>
    </w:rPr>
  </w:style>
  <w:style w:type="character" w:customStyle="1" w:styleId="89">
    <w:name w:val="cm-type3"/>
    <w:basedOn w:val="17"/>
    <w:uiPriority w:val="0"/>
    <w:rPr>
      <w:color w:val="0000C0"/>
    </w:rPr>
  </w:style>
  <w:style w:type="character" w:customStyle="1" w:styleId="90">
    <w:name w:val="cm-type4"/>
    <w:basedOn w:val="17"/>
    <w:uiPriority w:val="0"/>
    <w:rPr>
      <w:color w:val="66D9EF"/>
    </w:rPr>
  </w:style>
  <w:style w:type="character" w:customStyle="1" w:styleId="91">
    <w:name w:val="cm-type5"/>
    <w:basedOn w:val="17"/>
    <w:uiPriority w:val="0"/>
    <w:rPr>
      <w:color w:val="FFFFFF"/>
    </w:rPr>
  </w:style>
  <w:style w:type="character" w:customStyle="1" w:styleId="92">
    <w:name w:val="cm-variable-24"/>
    <w:basedOn w:val="17"/>
    <w:uiPriority w:val="0"/>
    <w:rPr>
      <w:color w:val="0000C0"/>
    </w:rPr>
  </w:style>
  <w:style w:type="character" w:customStyle="1" w:styleId="93">
    <w:name w:val="cm-variable-25"/>
    <w:basedOn w:val="17"/>
    <w:uiPriority w:val="0"/>
    <w:rPr>
      <w:color w:val="BB1111"/>
    </w:rPr>
  </w:style>
  <w:style w:type="character" w:customStyle="1" w:styleId="94">
    <w:name w:val="cm-variable-26"/>
    <w:basedOn w:val="17"/>
    <w:uiPriority w:val="0"/>
    <w:rPr>
      <w:color w:val="9EFFFF"/>
    </w:rPr>
  </w:style>
  <w:style w:type="character" w:customStyle="1" w:styleId="95">
    <w:name w:val="cm-variable-27"/>
    <w:basedOn w:val="17"/>
    <w:uiPriority w:val="0"/>
    <w:rPr>
      <w:color w:val="99B2FF"/>
    </w:rPr>
  </w:style>
  <w:style w:type="character" w:customStyle="1" w:styleId="96">
    <w:name w:val="cm-operator"/>
    <w:basedOn w:val="17"/>
    <w:uiPriority w:val="0"/>
    <w:rPr>
      <w:color w:val="000000"/>
    </w:rPr>
  </w:style>
  <w:style w:type="character" w:customStyle="1" w:styleId="97">
    <w:name w:val="cm-comment4"/>
    <w:basedOn w:val="17"/>
    <w:uiPriority w:val="0"/>
    <w:rPr>
      <w:color w:val="3F7F5F"/>
    </w:rPr>
  </w:style>
  <w:style w:type="character" w:customStyle="1" w:styleId="98">
    <w:name w:val="cm-comment5"/>
    <w:basedOn w:val="17"/>
    <w:uiPriority w:val="0"/>
    <w:rPr>
      <w:i/>
      <w:iCs/>
      <w:color w:val="226622"/>
    </w:rPr>
  </w:style>
  <w:style w:type="character" w:customStyle="1" w:styleId="99">
    <w:name w:val="cm-comment6"/>
    <w:basedOn w:val="17"/>
    <w:uiPriority w:val="0"/>
    <w:rPr>
      <w:color w:val="75715E"/>
    </w:rPr>
  </w:style>
  <w:style w:type="character" w:customStyle="1" w:styleId="100">
    <w:name w:val="cm-comment7"/>
    <w:basedOn w:val="17"/>
    <w:uiPriority w:val="0"/>
    <w:rPr>
      <w:color w:val="8900D1"/>
    </w:rPr>
  </w:style>
  <w:style w:type="character" w:customStyle="1" w:styleId="101">
    <w:name w:val="cm-qualifier3"/>
    <w:basedOn w:val="17"/>
    <w:uiPriority w:val="0"/>
    <w:rPr>
      <w:color w:val="555555"/>
    </w:rPr>
  </w:style>
  <w:style w:type="character" w:customStyle="1" w:styleId="102">
    <w:name w:val="cm-qualifier4"/>
    <w:basedOn w:val="17"/>
    <w:uiPriority w:val="0"/>
    <w:rPr>
      <w:color w:val="555555"/>
    </w:rPr>
  </w:style>
  <w:style w:type="character" w:customStyle="1" w:styleId="103">
    <w:name w:val="cm-attribute4"/>
    <w:basedOn w:val="17"/>
    <w:uiPriority w:val="0"/>
    <w:rPr>
      <w:color w:val="0000CC"/>
    </w:rPr>
  </w:style>
  <w:style w:type="character" w:customStyle="1" w:styleId="104">
    <w:name w:val="cm-attribute5"/>
    <w:basedOn w:val="17"/>
    <w:uiPriority w:val="0"/>
    <w:rPr>
      <w:color w:val="A6E22E"/>
    </w:rPr>
  </w:style>
  <w:style w:type="character" w:customStyle="1" w:styleId="105">
    <w:name w:val="cm-attribute6"/>
    <w:basedOn w:val="17"/>
    <w:uiPriority w:val="0"/>
    <w:rPr>
      <w:color w:val="FFD500"/>
    </w:rPr>
  </w:style>
  <w:style w:type="character" w:customStyle="1" w:styleId="106">
    <w:name w:val="ant-select-tree-checkbox2"/>
    <w:basedOn w:val="17"/>
    <w:uiPriority w:val="0"/>
  </w:style>
  <w:style w:type="character" w:customStyle="1" w:styleId="107">
    <w:name w:val="ant-select-tree-iconele"/>
    <w:basedOn w:val="17"/>
    <w:uiPriority w:val="0"/>
    <w:rPr>
      <w:bdr w:val="none" w:color="auto" w:sz="0" w:space="0"/>
    </w:rPr>
  </w:style>
  <w:style w:type="character" w:customStyle="1" w:styleId="108">
    <w:name w:val="ant-tree-switcher"/>
    <w:basedOn w:val="17"/>
    <w:uiPriority w:val="0"/>
    <w:rPr>
      <w:bdr w:val="none" w:color="auto" w:sz="0" w:space="0"/>
    </w:rPr>
  </w:style>
  <w:style w:type="character" w:customStyle="1" w:styleId="109">
    <w:name w:val="codemirror-matchingbracket10"/>
    <w:basedOn w:val="17"/>
    <w:uiPriority w:val="0"/>
    <w:rPr>
      <w:color w:val="00BB00"/>
    </w:rPr>
  </w:style>
  <w:style w:type="character" w:customStyle="1" w:styleId="110">
    <w:name w:val="not-pass-node"/>
    <w:basedOn w:val="17"/>
    <w:uiPriority w:val="0"/>
    <w:rPr>
      <w:bdr w:val="single" w:color="5ABD6B" w:sz="6" w:space="0"/>
      <w:shd w:val="clear" w:fill="BFF3C3"/>
    </w:rPr>
  </w:style>
  <w:style w:type="character" w:customStyle="1" w:styleId="111">
    <w:name w:val="wea-dropdown-triangle2"/>
    <w:basedOn w:val="17"/>
    <w:uiPriority w:val="0"/>
  </w:style>
  <w:style w:type="character" w:customStyle="1" w:styleId="112">
    <w:name w:val="cm-link"/>
    <w:basedOn w:val="17"/>
    <w:uiPriority w:val="0"/>
    <w:rPr>
      <w:color w:val="AE81FF"/>
    </w:rPr>
  </w:style>
  <w:style w:type="character" w:customStyle="1" w:styleId="113">
    <w:name w:val="cm-string"/>
    <w:basedOn w:val="17"/>
    <w:uiPriority w:val="0"/>
    <w:rPr>
      <w:color w:val="E6DB74"/>
    </w:rPr>
  </w:style>
  <w:style w:type="character" w:customStyle="1" w:styleId="114">
    <w:name w:val="cm-string1"/>
    <w:basedOn w:val="17"/>
    <w:uiPriority w:val="0"/>
    <w:rPr>
      <w:color w:val="221199"/>
    </w:rPr>
  </w:style>
  <w:style w:type="character" w:customStyle="1" w:styleId="115">
    <w:name w:val="cm-string2"/>
    <w:basedOn w:val="17"/>
    <w:uiPriority w:val="0"/>
    <w:rPr>
      <w:color w:val="776622"/>
    </w:rPr>
  </w:style>
  <w:style w:type="character" w:customStyle="1" w:styleId="116">
    <w:name w:val="cm-property1"/>
    <w:basedOn w:val="17"/>
    <w:uiPriority w:val="0"/>
    <w:rPr>
      <w:color w:val="000000"/>
    </w:rPr>
  </w:style>
  <w:style w:type="character" w:customStyle="1" w:styleId="117">
    <w:name w:val="cm-def"/>
    <w:basedOn w:val="17"/>
    <w:uiPriority w:val="0"/>
    <w:rPr>
      <w:color w:val="FD971F"/>
    </w:rPr>
  </w:style>
  <w:style w:type="character" w:customStyle="1" w:styleId="118">
    <w:name w:val="cm-comment"/>
    <w:basedOn w:val="17"/>
    <w:uiPriority w:val="0"/>
    <w:rPr>
      <w:color w:val="75715E"/>
    </w:rPr>
  </w:style>
  <w:style w:type="character" w:customStyle="1" w:styleId="119">
    <w:name w:val="cm-comment1"/>
    <w:basedOn w:val="17"/>
    <w:uiPriority w:val="0"/>
    <w:rPr>
      <w:color w:val="0000FF"/>
    </w:rPr>
  </w:style>
  <w:style w:type="character" w:customStyle="1" w:styleId="120">
    <w:name w:val="cm-comment2"/>
    <w:basedOn w:val="17"/>
    <w:uiPriority w:val="0"/>
    <w:rPr>
      <w:i/>
      <w:iCs/>
      <w:color w:val="226622"/>
    </w:rPr>
  </w:style>
  <w:style w:type="character" w:customStyle="1" w:styleId="121">
    <w:name w:val="cm-comment3"/>
    <w:basedOn w:val="17"/>
    <w:uiPriority w:val="0"/>
    <w:rPr>
      <w:color w:val="FFFFFF"/>
      <w:shd w:val="clear" w:fill="0A001F"/>
    </w:rPr>
  </w:style>
  <w:style w:type="character" w:customStyle="1" w:styleId="122">
    <w:name w:val="cm-type"/>
    <w:basedOn w:val="17"/>
    <w:uiPriority w:val="0"/>
    <w:rPr>
      <w:color w:val="66D9EF"/>
    </w:rPr>
  </w:style>
  <w:style w:type="character" w:customStyle="1" w:styleId="123">
    <w:name w:val="cm-variable-3"/>
    <w:basedOn w:val="17"/>
    <w:uiPriority w:val="0"/>
    <w:rPr>
      <w:color w:val="66D9EF"/>
    </w:rPr>
  </w:style>
  <w:style w:type="character" w:customStyle="1" w:styleId="124">
    <w:name w:val="cm-number1"/>
    <w:basedOn w:val="17"/>
    <w:uiPriority w:val="0"/>
    <w:rPr>
      <w:color w:val="0000C0"/>
    </w:rPr>
  </w:style>
  <w:style w:type="character" w:customStyle="1" w:styleId="125">
    <w:name w:val="cm-number2"/>
    <w:basedOn w:val="17"/>
    <w:uiPriority w:val="0"/>
    <w:rPr>
      <w:color w:val="776622"/>
    </w:rPr>
  </w:style>
  <w:style w:type="character" w:customStyle="1" w:styleId="126">
    <w:name w:val="cm-number3"/>
    <w:basedOn w:val="17"/>
    <w:uiPriority w:val="0"/>
    <w:rPr>
      <w:color w:val="FFFFFF"/>
    </w:rPr>
  </w:style>
  <w:style w:type="character" w:customStyle="1" w:styleId="127">
    <w:name w:val="cm-atom"/>
    <w:basedOn w:val="17"/>
    <w:uiPriority w:val="0"/>
    <w:rPr>
      <w:color w:val="AE81FF"/>
    </w:rPr>
  </w:style>
  <w:style w:type="character" w:customStyle="1" w:styleId="128">
    <w:name w:val="ant-tree-switcher12"/>
    <w:basedOn w:val="17"/>
    <w:uiPriority w:val="0"/>
    <w:rPr>
      <w:bdr w:val="none" w:color="auto" w:sz="0" w:space="0"/>
    </w:rPr>
  </w:style>
  <w:style w:type="character" w:customStyle="1" w:styleId="129">
    <w:name w:val="cm-variable-2"/>
    <w:basedOn w:val="17"/>
    <w:uiPriority w:val="0"/>
    <w:rPr>
      <w:color w:val="9EFFFF"/>
    </w:rPr>
  </w:style>
  <w:style w:type="character" w:customStyle="1" w:styleId="130">
    <w:name w:val="cm-variable-21"/>
    <w:basedOn w:val="17"/>
    <w:uiPriority w:val="0"/>
    <w:rPr>
      <w:color w:val="0000C0"/>
    </w:rPr>
  </w:style>
  <w:style w:type="character" w:customStyle="1" w:styleId="131">
    <w:name w:val="cm-variable-22"/>
    <w:basedOn w:val="17"/>
    <w:uiPriority w:val="0"/>
    <w:rPr>
      <w:color w:val="BB1111"/>
    </w:rPr>
  </w:style>
  <w:style w:type="character" w:customStyle="1" w:styleId="132">
    <w:name w:val="cm-variable-23"/>
    <w:basedOn w:val="17"/>
    <w:uiPriority w:val="0"/>
    <w:rPr>
      <w:color w:val="99B2FF"/>
    </w:rPr>
  </w:style>
  <w:style w:type="character" w:customStyle="1" w:styleId="133">
    <w:name w:val="cm-bracket"/>
    <w:basedOn w:val="17"/>
    <w:uiPriority w:val="0"/>
    <w:rPr>
      <w:color w:val="F8F8F2"/>
    </w:rPr>
  </w:style>
  <w:style w:type="character" w:customStyle="1" w:styleId="134">
    <w:name w:val="cm-bracket1"/>
    <w:basedOn w:val="17"/>
    <w:uiPriority w:val="0"/>
    <w:rPr>
      <w:color w:val="CCCC77"/>
    </w:rPr>
  </w:style>
  <w:style w:type="character" w:customStyle="1" w:styleId="135">
    <w:name w:val="cm-error"/>
    <w:basedOn w:val="17"/>
    <w:uiPriority w:val="0"/>
    <w:rPr>
      <w:color w:val="F8F8F0"/>
      <w:shd w:val="clear" w:fill="F92672"/>
    </w:rPr>
  </w:style>
  <w:style w:type="character" w:customStyle="1" w:styleId="136">
    <w:name w:val="cm-error1"/>
    <w:basedOn w:val="17"/>
    <w:uiPriority w:val="0"/>
    <w:rPr>
      <w:color w:val="FF0000"/>
    </w:rPr>
  </w:style>
  <w:style w:type="character" w:customStyle="1" w:styleId="137">
    <w:name w:val="cm-error2"/>
    <w:basedOn w:val="17"/>
    <w:uiPriority w:val="0"/>
    <w:rPr>
      <w:shd w:val="clear" w:fill="FFDDDD"/>
    </w:rPr>
  </w:style>
  <w:style w:type="character" w:customStyle="1" w:styleId="138">
    <w:name w:val="cm-error3"/>
    <w:basedOn w:val="17"/>
    <w:uiPriority w:val="0"/>
    <w:rPr>
      <w:color w:val="9D1E15"/>
    </w:rPr>
  </w:style>
  <w:style w:type="character" w:customStyle="1" w:styleId="139">
    <w:name w:val="cm-qualifier5"/>
    <w:basedOn w:val="17"/>
    <w:uiPriority w:val="0"/>
    <w:rPr>
      <w:color w:val="555555"/>
    </w:rPr>
  </w:style>
  <w:style w:type="character" w:customStyle="1" w:styleId="140">
    <w:name w:val="ant-table-row-expand-icon4"/>
    <w:basedOn w:val="17"/>
    <w:uiPriority w:val="0"/>
    <w:rPr>
      <w:vanish/>
    </w:rPr>
  </w:style>
  <w:style w:type="character" w:customStyle="1" w:styleId="141">
    <w:name w:val="button1"/>
    <w:basedOn w:val="17"/>
    <w:uiPriority w:val="0"/>
    <w:rPr>
      <w:bdr w:val="none" w:color="auto" w:sz="0" w:space="0"/>
    </w:rPr>
  </w:style>
  <w:style w:type="character" w:customStyle="1" w:styleId="142">
    <w:name w:val="cm-tag3"/>
    <w:basedOn w:val="17"/>
    <w:uiPriority w:val="0"/>
    <w:rPr>
      <w:color w:val="99B2FF"/>
    </w:rPr>
  </w:style>
  <w:style w:type="character" w:customStyle="1" w:styleId="143">
    <w:name w:val="codemirror-matchingbracket"/>
    <w:basedOn w:val="17"/>
    <w:uiPriority w:val="0"/>
    <w:rPr>
      <w:color w:val="00BB00"/>
    </w:rPr>
  </w:style>
  <w:style w:type="character" w:customStyle="1" w:styleId="144">
    <w:name w:val="cm-link1"/>
    <w:basedOn w:val="17"/>
    <w:uiPriority w:val="0"/>
    <w:rPr>
      <w:color w:val="221199"/>
    </w:rPr>
  </w:style>
  <w:style w:type="character" w:customStyle="1" w:styleId="145">
    <w:name w:val="cm-link2"/>
    <w:basedOn w:val="17"/>
    <w:uiPriority w:val="0"/>
    <w:rPr>
      <w:color w:val="776622"/>
    </w:rPr>
  </w:style>
  <w:style w:type="character" w:customStyle="1" w:styleId="146">
    <w:name w:val="cm-link3"/>
    <w:basedOn w:val="17"/>
    <w:uiPriority w:val="0"/>
    <w:rPr>
      <w:color w:val="AE81FF"/>
    </w:rPr>
  </w:style>
  <w:style w:type="character" w:customStyle="1" w:styleId="147">
    <w:name w:val="cm-qualifier"/>
    <w:basedOn w:val="17"/>
    <w:uiPriority w:val="0"/>
    <w:rPr>
      <w:color w:val="CCCC77"/>
    </w:rPr>
  </w:style>
  <w:style w:type="character" w:customStyle="1" w:styleId="148">
    <w:name w:val="cm-qualifier1"/>
    <w:basedOn w:val="17"/>
    <w:uiPriority w:val="0"/>
    <w:rPr>
      <w:color w:val="555555"/>
    </w:rPr>
  </w:style>
  <w:style w:type="character" w:customStyle="1" w:styleId="149">
    <w:name w:val="cm-meta4"/>
    <w:basedOn w:val="17"/>
    <w:uiPriority w:val="0"/>
    <w:rPr>
      <w:color w:val="7678E2"/>
    </w:rPr>
  </w:style>
  <w:style w:type="character" w:customStyle="1" w:styleId="150">
    <w:name w:val="cm-property2"/>
    <w:basedOn w:val="17"/>
    <w:uiPriority w:val="0"/>
    <w:rPr>
      <w:color w:val="000000"/>
    </w:rPr>
  </w:style>
  <w:style w:type="character" w:customStyle="1" w:styleId="151">
    <w:name w:val="cm-property3"/>
    <w:basedOn w:val="17"/>
    <w:uiPriority w:val="0"/>
    <w:rPr>
      <w:color w:val="A6E22E"/>
    </w:rPr>
  </w:style>
  <w:style w:type="character" w:customStyle="1" w:styleId="152">
    <w:name w:val="cm-keyword4"/>
    <w:basedOn w:val="17"/>
    <w:uiPriority w:val="0"/>
    <w:rPr>
      <w:color w:val="599EFF"/>
    </w:rPr>
  </w:style>
  <w:style w:type="character" w:customStyle="1" w:styleId="153">
    <w:name w:val="cm-keyword5"/>
    <w:basedOn w:val="17"/>
    <w:uiPriority w:val="0"/>
    <w:rPr>
      <w:b/>
      <w:bCs/>
      <w:color w:val="7F0055"/>
    </w:rPr>
  </w:style>
  <w:style w:type="character" w:customStyle="1" w:styleId="154">
    <w:name w:val="cm-keyword6"/>
    <w:basedOn w:val="17"/>
    <w:uiPriority w:val="0"/>
    <w:rPr>
      <w:color w:val="773300"/>
    </w:rPr>
  </w:style>
  <w:style w:type="character" w:customStyle="1" w:styleId="155">
    <w:name w:val="cm-keyword7"/>
    <w:basedOn w:val="17"/>
    <w:uiPriority w:val="0"/>
    <w:rPr>
      <w:color w:val="F92672"/>
    </w:rPr>
  </w:style>
  <w:style w:type="character" w:customStyle="1" w:styleId="156">
    <w:name w:val="cm-operator2"/>
    <w:basedOn w:val="17"/>
    <w:uiPriority w:val="0"/>
    <w:rPr>
      <w:color w:val="000000"/>
    </w:rPr>
  </w:style>
  <w:style w:type="character" w:customStyle="1" w:styleId="157">
    <w:name w:val="hover35"/>
    <w:basedOn w:val="17"/>
    <w:uiPriority w:val="0"/>
    <w:rPr>
      <w:color w:val="009DFF"/>
    </w:rPr>
  </w:style>
  <w:style w:type="character" w:customStyle="1" w:styleId="158">
    <w:name w:val="hover36"/>
    <w:basedOn w:val="17"/>
    <w:uiPriority w:val="0"/>
    <w:rPr>
      <w:color w:val="009DFF"/>
    </w:rPr>
  </w:style>
  <w:style w:type="character" w:customStyle="1" w:styleId="159">
    <w:name w:val="wea-dropdown-triangle"/>
    <w:basedOn w:val="17"/>
    <w:uiPriority w:val="0"/>
  </w:style>
  <w:style w:type="character" w:customStyle="1" w:styleId="160">
    <w:name w:val="cm-number4"/>
    <w:basedOn w:val="17"/>
    <w:uiPriority w:val="0"/>
    <w:rPr>
      <w:color w:val="116644"/>
    </w:rPr>
  </w:style>
  <w:style w:type="character" w:customStyle="1" w:styleId="161">
    <w:name w:val="cm-number5"/>
    <w:basedOn w:val="17"/>
    <w:uiPriority w:val="0"/>
    <w:rPr>
      <w:color w:val="776622"/>
    </w:rPr>
  </w:style>
  <w:style w:type="character" w:customStyle="1" w:styleId="162">
    <w:name w:val="cm-number6"/>
    <w:basedOn w:val="17"/>
    <w:uiPriority w:val="0"/>
    <w:rPr>
      <w:color w:val="AE81FF"/>
    </w:rPr>
  </w:style>
  <w:style w:type="character" w:customStyle="1" w:styleId="163">
    <w:name w:val="cm-string4"/>
    <w:basedOn w:val="17"/>
    <w:uiPriority w:val="0"/>
    <w:rPr>
      <w:color w:val="37F14A"/>
    </w:rPr>
  </w:style>
  <w:style w:type="character" w:customStyle="1" w:styleId="164">
    <w:name w:val="cm-string5"/>
    <w:basedOn w:val="17"/>
    <w:uiPriority w:val="0"/>
    <w:rPr>
      <w:color w:val="2A00FF"/>
    </w:rPr>
  </w:style>
  <w:style w:type="character" w:customStyle="1" w:styleId="165">
    <w:name w:val="cm-string6"/>
    <w:basedOn w:val="17"/>
    <w:uiPriority w:val="0"/>
    <w:rPr>
      <w:color w:val="776622"/>
    </w:rPr>
  </w:style>
  <w:style w:type="character" w:customStyle="1" w:styleId="166">
    <w:name w:val="cm-string7"/>
    <w:basedOn w:val="17"/>
    <w:uiPriority w:val="0"/>
    <w:rPr>
      <w:color w:val="E6DB74"/>
    </w:rPr>
  </w:style>
  <w:style w:type="character" w:customStyle="1" w:styleId="167">
    <w:name w:val="cm-def3"/>
    <w:basedOn w:val="17"/>
    <w:uiPriority w:val="0"/>
    <w:rPr>
      <w:color w:val="FFFFFF"/>
    </w:rPr>
  </w:style>
  <w:style w:type="character" w:customStyle="1" w:styleId="168">
    <w:name w:val="cm-type6"/>
    <w:basedOn w:val="17"/>
    <w:uiPriority w:val="0"/>
    <w:rPr>
      <w:color w:val="66D9EF"/>
    </w:rPr>
  </w:style>
  <w:style w:type="character" w:customStyle="1" w:styleId="169">
    <w:name w:val="cm-builtin4"/>
    <w:basedOn w:val="17"/>
    <w:uiPriority w:val="0"/>
    <w:rPr>
      <w:color w:val="FF9E59"/>
    </w:rPr>
  </w:style>
  <w:style w:type="character" w:customStyle="1" w:styleId="170">
    <w:name w:val="cm-builtin5"/>
    <w:basedOn w:val="17"/>
    <w:uiPriority w:val="0"/>
    <w:rPr>
      <w:color w:val="3300AA"/>
    </w:rPr>
  </w:style>
  <w:style w:type="character" w:customStyle="1" w:styleId="171">
    <w:name w:val="cm-builtin6"/>
    <w:basedOn w:val="17"/>
    <w:uiPriority w:val="0"/>
    <w:rPr>
      <w:color w:val="3300AA"/>
    </w:rPr>
  </w:style>
  <w:style w:type="character" w:customStyle="1" w:styleId="172">
    <w:name w:val="cm-builtin7"/>
    <w:basedOn w:val="17"/>
    <w:uiPriority w:val="0"/>
    <w:rPr>
      <w:color w:val="66D9EF"/>
    </w:rPr>
  </w:style>
  <w:style w:type="character" w:customStyle="1" w:styleId="173">
    <w:name w:val="cm-variable3"/>
    <w:basedOn w:val="17"/>
    <w:uiPriority w:val="0"/>
    <w:rPr>
      <w:color w:val="000000"/>
    </w:rPr>
  </w:style>
  <w:style w:type="character" w:customStyle="1" w:styleId="174">
    <w:name w:val="cm-variable4"/>
    <w:basedOn w:val="17"/>
    <w:uiPriority w:val="0"/>
    <w:rPr>
      <w:color w:val="F8F8F2"/>
    </w:rPr>
  </w:style>
  <w:style w:type="character" w:customStyle="1" w:styleId="175">
    <w:name w:val="cm-header3"/>
    <w:basedOn w:val="17"/>
    <w:uiPriority w:val="0"/>
    <w:rPr>
      <w:color w:val="AE81FF"/>
    </w:rPr>
  </w:style>
  <w:style w:type="character" w:customStyle="1" w:styleId="176">
    <w:name w:val="ant-table-row-expand-icon3"/>
    <w:basedOn w:val="17"/>
    <w:uiPriority w:val="0"/>
    <w:rPr>
      <w:vanish/>
    </w:rPr>
  </w:style>
  <w:style w:type="character" w:customStyle="1" w:styleId="177">
    <w:name w:val="disabled4"/>
    <w:basedOn w:val="17"/>
    <w:uiPriority w:val="0"/>
    <w:rPr>
      <w:color w:val="AAAAAA"/>
      <w:shd w:val="clear" w:fill="F7F7F7"/>
    </w:rPr>
  </w:style>
  <w:style w:type="character" w:customStyle="1" w:styleId="178">
    <w:name w:val="cm-def1"/>
    <w:basedOn w:val="17"/>
    <w:uiPriority w:val="0"/>
    <w:rPr>
      <w:color w:val="0000FF"/>
    </w:rPr>
  </w:style>
  <w:style w:type="character" w:customStyle="1" w:styleId="179">
    <w:name w:val="cm-def2"/>
    <w:basedOn w:val="17"/>
    <w:uiPriority w:val="0"/>
    <w:rPr>
      <w:color w:val="FFFFFF"/>
    </w:rPr>
  </w:style>
  <w:style w:type="character" w:customStyle="1" w:styleId="180">
    <w:name w:val="ant-tree-checkbox"/>
    <w:basedOn w:val="17"/>
    <w:uiPriority w:val="0"/>
    <w:rPr>
      <w:shd w:val="clear" w:fill="EAF8FE"/>
    </w:rPr>
  </w:style>
  <w:style w:type="character" w:customStyle="1" w:styleId="181">
    <w:name w:val="cm-atom1"/>
    <w:basedOn w:val="17"/>
    <w:uiPriority w:val="0"/>
    <w:rPr>
      <w:color w:val="776622"/>
    </w:rPr>
  </w:style>
  <w:style w:type="character" w:customStyle="1" w:styleId="182">
    <w:name w:val="cm-atom2"/>
    <w:basedOn w:val="17"/>
    <w:uiPriority w:val="0"/>
    <w:rPr>
      <w:color w:val="221199"/>
    </w:rPr>
  </w:style>
  <w:style w:type="character" w:customStyle="1" w:styleId="183">
    <w:name w:val="cm-atom3"/>
    <w:basedOn w:val="17"/>
    <w:uiPriority w:val="0"/>
    <w:rPr>
      <w:color w:val="845DC4"/>
    </w:rPr>
  </w:style>
  <w:style w:type="character" w:customStyle="1" w:styleId="184">
    <w:name w:val="cm-attribute"/>
    <w:basedOn w:val="17"/>
    <w:uiPriority w:val="0"/>
    <w:rPr>
      <w:color w:val="A6E22E"/>
    </w:rPr>
  </w:style>
  <w:style w:type="character" w:customStyle="1" w:styleId="185">
    <w:name w:val="cm-attribute1"/>
    <w:basedOn w:val="17"/>
    <w:uiPriority w:val="0"/>
    <w:rPr>
      <w:color w:val="0000CC"/>
    </w:rPr>
  </w:style>
  <w:style w:type="character" w:customStyle="1" w:styleId="186">
    <w:name w:val="cm-attribute2"/>
    <w:basedOn w:val="17"/>
    <w:uiPriority w:val="0"/>
    <w:rPr>
      <w:color w:val="FFD500"/>
    </w:rPr>
  </w:style>
  <w:style w:type="character" w:customStyle="1" w:styleId="187">
    <w:name w:val="cm-variable-31"/>
    <w:basedOn w:val="17"/>
    <w:uiPriority w:val="0"/>
    <w:rPr>
      <w:color w:val="0000C0"/>
    </w:rPr>
  </w:style>
  <w:style w:type="character" w:customStyle="1" w:styleId="188">
    <w:name w:val="cm-variable-32"/>
    <w:basedOn w:val="17"/>
    <w:uiPriority w:val="0"/>
    <w:rPr>
      <w:color w:val="FFFFFF"/>
    </w:rPr>
  </w:style>
  <w:style w:type="character" w:customStyle="1" w:styleId="189">
    <w:name w:val="cm-tag"/>
    <w:basedOn w:val="17"/>
    <w:uiPriority w:val="0"/>
    <w:rPr>
      <w:color w:val="F92672"/>
    </w:rPr>
  </w:style>
  <w:style w:type="character" w:customStyle="1" w:styleId="190">
    <w:name w:val="cm-tag1"/>
    <w:basedOn w:val="17"/>
    <w:uiPriority w:val="0"/>
    <w:rPr>
      <w:color w:val="117700"/>
    </w:rPr>
  </w:style>
  <w:style w:type="character" w:customStyle="1" w:styleId="191">
    <w:name w:val="cm-tag2"/>
    <w:basedOn w:val="17"/>
    <w:uiPriority w:val="0"/>
    <w:rPr>
      <w:color w:val="99B2FF"/>
    </w:rPr>
  </w:style>
  <w:style w:type="character" w:customStyle="1" w:styleId="192">
    <w:name w:val="hover"/>
    <w:basedOn w:val="17"/>
    <w:uiPriority w:val="0"/>
    <w:rPr>
      <w:color w:val="009DFF"/>
    </w:rPr>
  </w:style>
  <w:style w:type="character" w:customStyle="1" w:styleId="193">
    <w:name w:val="hover1"/>
    <w:basedOn w:val="17"/>
    <w:uiPriority w:val="0"/>
    <w:rPr>
      <w:color w:val="009DFF"/>
    </w:rPr>
  </w:style>
  <w:style w:type="character" w:customStyle="1" w:styleId="194">
    <w:name w:val="ant-select-tree-checkbox"/>
    <w:basedOn w:val="17"/>
    <w:uiPriority w:val="0"/>
  </w:style>
  <w:style w:type="character" w:customStyle="1" w:styleId="195">
    <w:name w:val="codemirror-matchingbracket6"/>
    <w:basedOn w:val="17"/>
    <w:uiPriority w:val="0"/>
    <w:rPr>
      <w:color w:val="00BB00"/>
    </w:rPr>
  </w:style>
  <w:style w:type="character" w:customStyle="1" w:styleId="196">
    <w:name w:val="cm-string-24"/>
    <w:basedOn w:val="17"/>
    <w:uiPriority w:val="0"/>
    <w:rPr>
      <w:color w:val="FF550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cf6389dd-f256-4148-8606-59f958d2f9a7</errorID>
      <errorWord>月</errorWord>
      <group>L1_Word</group>
      <groupName>字词问题</groupName>
      <ability>L2_Typo</ability>
      <abilityName>字词错误</abilityName>
      <candidateList>
        <item>月支</item>
      </candidateList>
      <explain/>
      <paraID>7EAF56CB</paraID>
      <start>22</start>
      <end>23</end>
      <status>unmodified</status>
      <modifiedWord/>
      <trackRevisions>false</trackRevisions>
    </reviewItem>
    <reviewItem>
      <errorID>d7690c65-3160-4e96-bb81-1bb65d1bf216</errorID>
      <errorWord>异义</errorWord>
      <group>L1_Word</group>
      <groupName>字词问题</groupName>
      <ability>L2_Typo</ability>
      <abilityName>字词错误</abilityName>
      <candidateList>
        <item>异议</item>
      </candidateList>
      <explain/>
      <paraID>282876EA</paraID>
      <start>19</start>
      <end>21</end>
      <status>unmodified</status>
      <modifiedWord/>
      <trackRevisions>false</trackRevisions>
    </reviewItem>
    <reviewItem>
      <errorID>b9aa6ce8-9b9b-4d90-8b22-d6b0006b6319</errorID>
      <errorWord>起</errorWord>
      <group>L1_Word</group>
      <groupName>字词问题</groupName>
      <ability>L2_Typo</ability>
      <abilityName>字词错误</abilityName>
      <candidateList>
        <item>起到</item>
      </candidateList>
      <explain/>
      <paraID>6107FB4C</paraID>
      <start>51</start>
      <end>52</end>
      <status>unmodified</status>
      <modifiedWord/>
      <trackRevisions>false</trackRevisions>
    </reviewItem>
    <reviewItem>
      <errorID>c4765c18-2796-4f9e-96b7-d1a0fcb535f9</errorID>
      <errorWord>服</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37E56D7C</paraID>
      <start>4</start>
      <end>5</end>
      <status>unmodified</status>
      <modifiedWord/>
      <trackRevisions>false</trackRevisions>
    </reviewItem>
    <reviewItem>
      <errorID>86bd7974-37bc-46d7-b527-3805663fee02</errorID>
      <errorWord>、</errorWord>
      <group>L1_Punc</group>
      <groupName>标点问题</groupName>
      <ability>L2_Punc</ability>
      <abilityName>标点符号检查</abilityName>
      <candidateList/>
      <explain/>
      <paraID>24E04C02</paraID>
      <start>0</start>
      <end>1</end>
      <status>unmodified</status>
      <modifiedWord/>
      <trackRevisions>false</trackRevisions>
    </reviewItem>
    <reviewItem>
      <errorID>cd7b9bf3-5a90-48ef-90b2-ed64109aa17e</errorID>
      <errorWord>、</errorWord>
      <group>L1_Punc</group>
      <groupName>标点问题</groupName>
      <ability>L2_Punc</ability>
      <abilityName>标点符号检查</abilityName>
      <candidateList/>
      <explain/>
      <paraID> CBB6936</paraID>
      <start>0</start>
      <end>1</end>
      <status>unmodified</status>
      <modifiedWord/>
      <trackRevisions>false</trackRevisions>
    </reviewItem>
    <reviewItem>
      <errorID>89f62835-6e15-41bf-98f9-81adc9ddd44f</errorID>
      <errorWord>放等</errorWord>
      <group>L1_Word</group>
      <groupName>字词问题</groupName>
      <ability>L2_Typo</ability>
      <abilityName>字词错误</abilityName>
      <candidateList>
        <item>等等</item>
      </candidateList>
      <explain/>
      <paraID>19A80AA8</paraID>
      <start>0</start>
      <end>2</end>
      <status>unmodified</status>
      <modifiedWord/>
      <trackRevisions>false</trackRevisions>
    </reviewItem>
    <reviewItem>
      <errorID>fcfee9b8-0281-486d-af71-11b083c4d31d</errorID>
      <errorWord>问</errorWord>
      <group>L1_Word</group>
      <groupName>字词问题</groupName>
      <ability>L2_Typo</ability>
      <abilityName>字词错误</abilityName>
      <candidateList>
        <item>问题</item>
      </candidateList>
      <explain>〈名〉❶要求回答或解释的题目：这次考试一共有五个～｜我想答复一下这一类的～。❷须要研究讨论并加以解决的矛盾、疑难：思想～｜这种药治感冒很解决～。❸关键；重要之点：重要的～在善于学习。❹事故或麻烦：那部车床又出～了。</explain>
      <paraID>43B8A052</paraID>
      <start>0</start>
      <end>1</end>
      <status>unmodified</status>
      <modifiedWord/>
      <trackRevisions>false</trackRevisions>
    </reviewItem>
    <reviewItem>
      <errorID>34e58070-be26-4ecf-88eb-6e8fb43c926f</errorID>
      <errorWord>服</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1EFDD5F1</paraID>
      <start>28</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a094a473-c714-42d0-9772-7df2b1a5fbfc}">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2996</Words>
  <Characters>3050</Characters>
  <Lines>0</Lines>
  <Paragraphs>0</Paragraphs>
  <TotalTime>8</TotalTime>
  <ScaleCrop>false</ScaleCrop>
  <LinksUpToDate>false</LinksUpToDate>
  <CharactersWithSpaces>3503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2025-12-23T06:08:00Z</dcterms:created>
  <dc:creator>企业用户_361240218</dc:creator>
  <cp:lastModifiedBy>物业服务中心文员</cp:lastModifiedBy>
  <cp:lastPrinted>2026-10-08T07:43:00Z</cp:lastPrinted>
  <dcterms:modified xsi:type="dcterms:W3CDTF">2026-10-23T08:00:25Z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55D09FDE0B9B4EFC81347693F45547EE_13</vt:lpwstr>
  </property>
  <property fmtid="{D5CDD505-2E9C-101B-9397-08002B2CF9AE}" pid="4" name="KSOTemplateDocerSaveRecord">
    <vt:lpwstr>eyJoZGlkIjoiZDZlZmJjZTRkNzI5MzI5NTBmMDk0ZDA2Zjk5YjA1YjYiLCJ1c2VySWQiOiI2MzYxMTY3NTUifQ==</vt:lpwstr>
  </property>
</Properties>
</file>