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ackground w:color="ffffff">
    <v:background id="_x0000_s1025" filled="t"/>
  </w:background>
  <w:body>
    <w:p>
      <w:pPr>
        <w:pStyle w:val="NormalWeb"/>
        <w:spacing w:before="454" w:beforeAutospacing="0" w:after="454" w:afterAutospacing="0"/>
        <w:ind w:right="454"/>
        <w:jc w:val="center"/>
        <w:outlineLvl w:val="0"/>
        <w:rPr>
          <w:rFonts w:eastAsia="宋体" w:hint="default"/>
          <w:sz w:val="40"/>
          <w:szCs w:val="40"/>
          <w:lang w:eastAsia="zh-CN"/>
        </w:rPr>
      </w:pPr>
      <w:bookmarkStart w:id="0" w:name="_Toc31620"/>
      <w:bookmarkStart w:id="1" w:name="_Toc256000000"/>
      <w:r>
        <w:rPr>
          <w:rFonts w:hint="eastAsia"/>
          <w:sz w:val="40"/>
          <w:szCs w:val="40"/>
          <w:lang w:eastAsia="zh-CN"/>
        </w:rPr>
        <w:t>南方医科大学深圳坪山医院（深圳市坪山区人民医院）新院区空气检测及除甲醛</w:t>
      </w:r>
      <w:bookmarkEnd w:id="1"/>
      <w:bookmarkEnd w:id="0"/>
    </w:p>
    <w:p>
      <w:pPr>
        <w:pStyle w:val="NormalWeb"/>
        <w:jc w:val="center"/>
        <w:outlineLvl w:val="1"/>
        <w:rPr>
          <w:rFonts w:ascii="黑体" w:eastAsia="黑体" w:hAnsi="黑体"/>
          <w:sz w:val="40"/>
          <w:szCs w:val="40"/>
        </w:rPr>
      </w:pPr>
      <w:bookmarkStart w:id="2" w:name="_Toc8614"/>
      <w:bookmarkStart w:id="3" w:name="_Toc16932"/>
      <w:bookmarkStart w:id="4" w:name="_Toc16612"/>
      <w:bookmarkStart w:id="5" w:name="_Toc106150135"/>
      <w:bookmarkStart w:id="6" w:name="_Toc5428"/>
      <w:bookmarkStart w:id="7" w:name="_Toc28981"/>
      <w:bookmarkStart w:id="8" w:name="_Toc256000001"/>
      <w:r>
        <w:rPr>
          <w:rFonts w:ascii="黑体" w:eastAsia="黑体" w:hAnsi="黑体" w:hint="eastAsia"/>
          <w:sz w:val="40"/>
          <w:szCs w:val="40"/>
        </w:rPr>
        <w:t>招标文件信息</w:t>
      </w:r>
      <w:bookmarkEnd w:id="8"/>
      <w:bookmarkEnd w:id="2"/>
      <w:bookmarkEnd w:id="3"/>
      <w:bookmarkEnd w:id="4"/>
      <w:bookmarkEnd w:id="5"/>
      <w:bookmarkEnd w:id="6"/>
      <w:bookmarkEnd w:id="7"/>
    </w:p>
    <w:tbl>
      <w:tblPr>
        <w:tblStyle w:val="TableNormal"/>
        <w:tblW w:w="0" w:type="auto"/>
        <w:jc w:val="center"/>
        <w:tblCellSpacing w:w="0" w:type="dxa"/>
        <w:tblLayout w:type="fixed"/>
        <w:tblCellMar>
          <w:top w:w="45" w:type="dxa"/>
          <w:left w:w="45" w:type="dxa"/>
          <w:bottom w:w="45" w:type="dxa"/>
          <w:right w:w="45" w:type="dxa"/>
        </w:tblCellMar>
      </w:tblPr>
      <w:tblGrid>
        <w:gridCol w:w="2722"/>
        <w:gridCol w:w="5216"/>
      </w:tblGrid>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项目编号：</w:t>
            </w:r>
          </w:p>
        </w:tc>
        <w:tc>
          <w:tcPr>
            <w:tcW w:w="5216" w:type="dxa"/>
            <w:vAlign w:val="center"/>
          </w:tcPr>
          <w:p>
            <w:pPr>
              <w:rPr>
                <w:rFonts w:ascii="宋体" w:eastAsia="宋体" w:hAnsi="宋体" w:cs="宋体" w:hint="eastAsia"/>
                <w:sz w:val="30"/>
                <w:szCs w:val="30"/>
                <w:lang w:eastAsia="zh-CN"/>
              </w:rPr>
            </w:pPr>
            <w:r>
              <w:rPr>
                <w:rFonts w:ascii="宋体" w:hAnsi="宋体" w:cs="宋体" w:hint="eastAsia"/>
                <w:sz w:val="30"/>
                <w:szCs w:val="30"/>
                <w:lang w:eastAsia="zh-CN"/>
              </w:rPr>
              <w:t>PSDL2026000028</w:t>
            </w:r>
          </w:p>
        </w:tc>
      </w:tr>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项目名称：</w:t>
            </w:r>
          </w:p>
        </w:tc>
        <w:tc>
          <w:tcPr>
            <w:tcW w:w="5216" w:type="dxa"/>
            <w:vAlign w:val="center"/>
          </w:tcPr>
          <w:p>
            <w:pPr>
              <w:rPr>
                <w:rFonts w:ascii="宋体" w:eastAsia="宋体" w:hAnsi="宋体" w:cs="宋体" w:hint="default"/>
                <w:sz w:val="30"/>
                <w:szCs w:val="30"/>
                <w:lang w:eastAsia="zh-CN"/>
              </w:rPr>
            </w:pPr>
            <w:r>
              <w:rPr>
                <w:rFonts w:ascii="宋体" w:hAnsi="宋体" w:cs="宋体" w:hint="eastAsia"/>
                <w:sz w:val="30"/>
                <w:szCs w:val="30"/>
                <w:lang w:eastAsia="zh-CN"/>
              </w:rPr>
              <w:t>南方医科大学深圳坪山医院（深圳市坪山区人民医院）新院区空气检测及除甲醛</w:t>
            </w:r>
          </w:p>
        </w:tc>
      </w:tr>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包 号：</w:t>
            </w:r>
          </w:p>
        </w:tc>
        <w:tc>
          <w:tcPr>
            <w:tcW w:w="5216" w:type="dxa"/>
            <w:vAlign w:val="center"/>
          </w:tcPr>
          <w:p>
            <w:pPr>
              <w:rPr>
                <w:rFonts w:ascii="宋体" w:eastAsia="宋体" w:hAnsi="宋体" w:cs="宋体" w:hint="default"/>
                <w:sz w:val="30"/>
                <w:szCs w:val="30"/>
                <w:lang w:val="en-US" w:eastAsia="zh-CN"/>
              </w:rPr>
            </w:pPr>
            <w:r>
              <w:rPr>
                <w:rFonts w:hint="eastAsia"/>
                <w:b/>
                <w:bCs/>
                <w:sz w:val="30"/>
                <w:szCs w:val="30"/>
                <w:lang w:val="en-US" w:eastAsia="zh-CN"/>
              </w:rPr>
              <w:t>A</w:t>
            </w:r>
            <w:r>
              <w:rPr>
                <w:rFonts w:hint="eastAsia"/>
                <w:b/>
                <w:bCs/>
                <w:sz w:val="30"/>
                <w:szCs w:val="30"/>
                <w:lang w:eastAsia="zh-CN"/>
              </w:rPr>
              <w:t>包：空气检测</w:t>
            </w:r>
            <w:r>
              <w:rPr>
                <w:rFonts w:hint="eastAsia"/>
                <w:b/>
                <w:bCs/>
                <w:sz w:val="30"/>
                <w:szCs w:val="30"/>
                <w:lang w:val="en-US" w:eastAsia="zh-CN"/>
              </w:rPr>
              <w:t>项目</w:t>
            </w:r>
          </w:p>
        </w:tc>
      </w:tr>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项目类型：</w:t>
            </w:r>
          </w:p>
        </w:tc>
        <w:tc>
          <w:tcPr>
            <w:tcW w:w="5216" w:type="dxa"/>
            <w:vAlign w:val="center"/>
          </w:tcPr>
          <w:p>
            <w:pPr>
              <w:rPr>
                <w:rFonts w:ascii="宋体" w:hAnsi="宋体" w:cs="宋体"/>
                <w:sz w:val="30"/>
                <w:szCs w:val="30"/>
              </w:rPr>
            </w:pPr>
            <w:r>
              <w:rPr>
                <w:sz w:val="30"/>
                <w:szCs w:val="30"/>
              </w:rPr>
              <w:t>服务类</w:t>
            </w:r>
          </w:p>
        </w:tc>
      </w:tr>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采购方式：</w:t>
            </w:r>
          </w:p>
        </w:tc>
        <w:tc>
          <w:tcPr>
            <w:tcW w:w="5216" w:type="dxa"/>
            <w:vAlign w:val="center"/>
          </w:tcPr>
          <w:p>
            <w:pPr>
              <w:rPr>
                <w:rFonts w:ascii="宋体" w:hAnsi="宋体" w:cs="宋体"/>
                <w:sz w:val="30"/>
                <w:szCs w:val="30"/>
              </w:rPr>
            </w:pPr>
            <w:r>
              <w:rPr>
                <w:sz w:val="30"/>
                <w:szCs w:val="30"/>
              </w:rPr>
              <w:t>公开招标</w:t>
            </w:r>
          </w:p>
        </w:tc>
      </w:tr>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货币类型：</w:t>
            </w:r>
          </w:p>
        </w:tc>
        <w:tc>
          <w:tcPr>
            <w:tcW w:w="5216" w:type="dxa"/>
            <w:vAlign w:val="center"/>
          </w:tcPr>
          <w:p>
            <w:pPr>
              <w:rPr>
                <w:rFonts w:ascii="宋体" w:hAnsi="宋体" w:cs="宋体"/>
                <w:sz w:val="30"/>
                <w:szCs w:val="30"/>
              </w:rPr>
            </w:pPr>
            <w:r>
              <w:rPr>
                <w:sz w:val="30"/>
                <w:szCs w:val="30"/>
              </w:rPr>
              <w:t>人民币</w:t>
            </w:r>
          </w:p>
        </w:tc>
      </w:tr>
      <w:tr>
        <w:tblPrEx>
          <w:tblW w:w="0" w:type="auto"/>
          <w:jc w:val="center"/>
          <w:tblCellSpacing w:w="0" w:type="dxa"/>
          <w:tblLayout w:type="fixed"/>
          <w:tblCellMar>
            <w:top w:w="45" w:type="dxa"/>
            <w:left w:w="45" w:type="dxa"/>
            <w:bottom w:w="45" w:type="dxa"/>
            <w:right w:w="45" w:type="dxa"/>
          </w:tblCellMar>
        </w:tblPrEx>
        <w:trPr>
          <w:trHeight w:val="737"/>
          <w:tblCellSpacing w:w="0" w:type="dxa"/>
          <w:jc w:val="center"/>
        </w:trPr>
        <w:tc>
          <w:tcPr>
            <w:tcW w:w="2722" w:type="dxa"/>
            <w:vAlign w:val="center"/>
          </w:tcPr>
          <w:p>
            <w:pPr>
              <w:jc w:val="right"/>
              <w:rPr>
                <w:rFonts w:ascii="宋体" w:hAnsi="宋体" w:cs="宋体"/>
                <w:sz w:val="30"/>
                <w:szCs w:val="30"/>
              </w:rPr>
            </w:pPr>
            <w:r>
              <w:rPr>
                <w:sz w:val="30"/>
                <w:szCs w:val="30"/>
              </w:rPr>
              <w:t>评标方法：</w:t>
            </w:r>
          </w:p>
        </w:tc>
        <w:tc>
          <w:tcPr>
            <w:tcW w:w="5216" w:type="dxa"/>
            <w:vAlign w:val="center"/>
          </w:tcPr>
          <w:p>
            <w:pPr>
              <w:rPr>
                <w:rFonts w:ascii="宋体" w:hAnsi="宋体" w:cs="宋体"/>
                <w:sz w:val="30"/>
                <w:szCs w:val="30"/>
              </w:rPr>
            </w:pPr>
            <w:r>
              <w:rPr>
                <w:sz w:val="30"/>
                <w:szCs w:val="30"/>
              </w:rPr>
              <w:t>综合评分法（新价格分算法）</w:t>
            </w:r>
          </w:p>
        </w:tc>
      </w:tr>
    </w:tbl>
    <w:p>
      <w:pPr>
        <w:pStyle w:val="NormalWeb"/>
        <w:jc w:val="center"/>
        <w:outlineLvl w:val="1"/>
        <w:rPr>
          <w:rFonts w:ascii="黑体" w:eastAsia="黑体" w:hAnsi="黑体"/>
          <w:sz w:val="40"/>
          <w:szCs w:val="40"/>
        </w:rPr>
      </w:pPr>
      <w:bookmarkStart w:id="9" w:name="_Toc106150137"/>
      <w:bookmarkStart w:id="10" w:name="_Toc29470"/>
      <w:bookmarkStart w:id="11" w:name="_Toc22505"/>
      <w:bookmarkStart w:id="12" w:name="_Toc5389"/>
      <w:bookmarkStart w:id="13" w:name="_Toc472"/>
      <w:r>
        <w:rPr>
          <w:rFonts w:ascii="黑体" w:eastAsia="黑体" w:hAnsi="黑体" w:hint="eastAsia"/>
          <w:sz w:val="40"/>
          <w:szCs w:val="40"/>
        </w:rPr>
        <w:br w:type="page"/>
      </w:r>
      <w:bookmarkStart w:id="14" w:name="_Toc2976"/>
      <w:bookmarkStart w:id="15" w:name="_Toc256000002"/>
      <w:r>
        <w:rPr>
          <w:rFonts w:ascii="黑体" w:eastAsia="黑体" w:hAnsi="黑体" w:hint="eastAsia"/>
          <w:sz w:val="40"/>
          <w:szCs w:val="40"/>
        </w:rPr>
        <w:t>资格性审查表</w:t>
      </w:r>
      <w:bookmarkEnd w:id="15"/>
      <w:bookmarkEnd w:id="14"/>
    </w:p>
    <w:tbl>
      <w:tblPr>
        <w:tblStyle w:val="TableNormal"/>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
      <w:tblGrid>
        <w:gridCol w:w="794"/>
        <w:gridCol w:w="8278"/>
      </w:tblGrid>
      <w:tr>
        <w:tblPrEx>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pPr>
              <w:jc w:val="center"/>
              <w:rPr>
                <w:rFonts w:ascii="宋体" w:hAnsi="宋体" w:cs="宋体"/>
                <w:sz w:val="28"/>
                <w:szCs w:val="28"/>
              </w:rPr>
            </w:pPr>
            <w:r>
              <w:rPr>
                <w:sz w:val="28"/>
                <w:szCs w:val="28"/>
              </w:rPr>
              <w:t>序号</w:t>
            </w:r>
          </w:p>
        </w:tc>
        <w:tc>
          <w:tcPr>
            <w:tcW w:w="8278" w:type="dxa"/>
            <w:tcBorders>
              <w:top w:val="single" w:sz="8" w:space="0" w:color="000000"/>
              <w:left w:val="single" w:sz="8" w:space="0" w:color="000000"/>
              <w:bottom w:val="single" w:sz="8" w:space="0" w:color="000000"/>
              <w:right w:val="single" w:sz="8" w:space="0" w:color="000000"/>
            </w:tcBorders>
            <w:shd w:val="clear" w:color="auto" w:fill="E6EFFA"/>
            <w:vAlign w:val="center"/>
          </w:tcPr>
          <w:p>
            <w:pPr>
              <w:jc w:val="center"/>
              <w:rPr>
                <w:rFonts w:ascii="宋体" w:hAnsi="宋体" w:cs="宋体"/>
                <w:sz w:val="28"/>
                <w:szCs w:val="28"/>
              </w:rPr>
            </w:pPr>
            <w:r>
              <w:rPr>
                <w:sz w:val="28"/>
                <w:szCs w:val="28"/>
              </w:rPr>
              <w:t>内容</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1"/>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rFonts w:ascii="宋体" w:hAnsi="宋体" w:cs="宋体" w:hint="eastAsia"/>
                <w:szCs w:val="21"/>
              </w:rPr>
              <w:t>投标人不符合资格要求，或未提交相应的资格证明资料（详见招标公告投标人资格要求，即申请人的资格要求）</w:t>
            </w:r>
          </w:p>
        </w:tc>
      </w:tr>
    </w:tbl>
    <w:p>
      <w:pPr>
        <w:pStyle w:val="NormalWeb"/>
        <w:spacing w:before="280" w:beforeAutospacing="0"/>
        <w:jc w:val="center"/>
        <w:outlineLvl w:val="1"/>
        <w:rPr>
          <w:rFonts w:ascii="黑体" w:eastAsia="黑体" w:hAnsi="黑体"/>
          <w:sz w:val="40"/>
          <w:szCs w:val="40"/>
        </w:rPr>
      </w:pPr>
      <w:bookmarkStart w:id="16" w:name="_Toc27201"/>
      <w:bookmarkStart w:id="17" w:name="_Toc256000003"/>
      <w:r>
        <w:rPr>
          <w:rFonts w:ascii="黑体" w:eastAsia="黑体" w:hAnsi="黑体" w:hint="eastAsia"/>
          <w:sz w:val="40"/>
          <w:szCs w:val="40"/>
        </w:rPr>
        <w:t>符合性审查表</w:t>
      </w:r>
      <w:bookmarkEnd w:id="17"/>
      <w:bookmarkEnd w:id="9"/>
      <w:bookmarkEnd w:id="10"/>
      <w:bookmarkEnd w:id="11"/>
      <w:bookmarkEnd w:id="12"/>
      <w:bookmarkEnd w:id="13"/>
      <w:bookmarkEnd w:id="16"/>
    </w:p>
    <w:tbl>
      <w:tblPr>
        <w:tblStyle w:val="TableNormal"/>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
      <w:tblGrid>
        <w:gridCol w:w="794"/>
        <w:gridCol w:w="8278"/>
      </w:tblGrid>
      <w:tr>
        <w:tblPrEx>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shd w:val="clear" w:color="auto" w:fill="E6EFFA"/>
            <w:vAlign w:val="center"/>
          </w:tcPr>
          <w:p>
            <w:pPr>
              <w:jc w:val="center"/>
              <w:rPr>
                <w:rFonts w:ascii="宋体" w:hAnsi="宋体" w:cs="宋体"/>
                <w:sz w:val="28"/>
                <w:szCs w:val="28"/>
              </w:rPr>
            </w:pPr>
            <w:bookmarkStart w:id="18" w:name="_Toc9292"/>
            <w:bookmarkStart w:id="19" w:name="_Toc24354"/>
            <w:bookmarkStart w:id="20" w:name="_Toc16732"/>
            <w:bookmarkStart w:id="21" w:name="_Toc106150138"/>
            <w:r>
              <w:rPr>
                <w:sz w:val="28"/>
                <w:szCs w:val="28"/>
              </w:rPr>
              <w:t>序号</w:t>
            </w:r>
          </w:p>
        </w:tc>
        <w:tc>
          <w:tcPr>
            <w:tcW w:w="8278" w:type="dxa"/>
            <w:tcBorders>
              <w:top w:val="single" w:sz="8" w:space="0" w:color="000000"/>
              <w:left w:val="single" w:sz="8" w:space="0" w:color="000000"/>
              <w:bottom w:val="single" w:sz="8" w:space="0" w:color="000000"/>
              <w:right w:val="single" w:sz="8" w:space="0" w:color="000000"/>
            </w:tcBorders>
            <w:shd w:val="clear" w:color="auto" w:fill="E6EFFA"/>
            <w:vAlign w:val="center"/>
          </w:tcPr>
          <w:p>
            <w:pPr>
              <w:jc w:val="center"/>
              <w:rPr>
                <w:rFonts w:ascii="宋体" w:hAnsi="宋体" w:cs="宋体"/>
                <w:sz w:val="28"/>
                <w:szCs w:val="28"/>
              </w:rPr>
            </w:pPr>
            <w:r>
              <w:rPr>
                <w:sz w:val="28"/>
                <w:szCs w:val="28"/>
              </w:rPr>
              <w:t>内容</w:t>
            </w:r>
          </w:p>
        </w:tc>
      </w:tr>
      <w:tr>
        <w:tblPrEx>
          <w:tblW w:w="9072" w:type="dxa"/>
          <w:jc w:val="center"/>
          <w:tblLayout w:type="fixed"/>
          <w:tblCellMar>
            <w:top w:w="20" w:type="dxa"/>
            <w:left w:w="108" w:type="dxa"/>
            <w:bottom w:w="20" w:type="dxa"/>
            <w:right w:w="108" w:type="dxa"/>
          </w:tblCellMar>
        </w:tblPrEx>
        <w:trPr>
          <w:trHeight w:val="287"/>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投标文件电子文档带有病毒；</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投标文件用不属于本公司的电子密钥进行加密；</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误选了非本项目的最新加密规则文件，导致投标文件不能在开标时解密；</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eastAsia="宋体" w:hint="eastAsia"/>
                <w:szCs w:val="21"/>
                <w:lang w:val="en-US" w:eastAsia="zh-CN"/>
              </w:rPr>
            </w:pPr>
            <w:r>
              <w:rPr>
                <w:rFonts w:hint="eastAsia"/>
                <w:szCs w:val="21"/>
              </w:rPr>
              <w:t>投标异常</w:t>
            </w:r>
            <w:r>
              <w:rPr>
                <w:rFonts w:hint="eastAsia"/>
                <w:szCs w:val="21"/>
                <w:lang w:val="en-US" w:eastAsia="zh-CN"/>
              </w:rPr>
              <w:t>情形（1.不同投标供应商投标文件“文件制作机器码”和“IP地址”一致；2.不同投标供应商投标文件“文件创建标识码”和“IP地址”一致；3.不同投标供应商投标文件“文件制作机器码”一致；4.不同投标供应商投标文件“文件创建标识码”一致）；</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投标内容有严重缺漏项；</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投标报价有严重缺漏项；</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投标文件的关键内容字迹模糊、无法辨认；</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szCs w:val="21"/>
              </w:rPr>
            </w:pPr>
            <w:r>
              <w:rPr>
                <w:rFonts w:hint="eastAsia"/>
                <w:szCs w:val="21"/>
              </w:rPr>
              <w:t>未提供</w:t>
            </w:r>
            <w:r>
              <w:t>法定代表人（单位负责人）证明书</w:t>
            </w:r>
            <w:r>
              <w:rPr>
                <w:rFonts w:hint="eastAsia"/>
              </w:rPr>
              <w:t>；</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投标文件不满足招标文件中加注星号（</w:t>
            </w:r>
            <w:r>
              <w:rPr>
                <w:rFonts w:ascii="宋体" w:hAnsi="宋体" w:cs="宋体" w:hint="eastAsia"/>
                <w:szCs w:val="21"/>
              </w:rPr>
              <w:t>★</w:t>
            </w:r>
            <w:r>
              <w:rPr>
                <w:szCs w:val="21"/>
              </w:rPr>
              <w:t>）的主要参数要求；</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将一个包中的内容拆开投标；</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投标人对同一货物或服务投标时，同时提供两套或两套以上的投标方案；</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招标文件加注星号（</w:t>
            </w:r>
            <w:r>
              <w:rPr>
                <w:rFonts w:ascii="宋体" w:hAnsi="宋体" w:cs="宋体" w:hint="eastAsia"/>
                <w:szCs w:val="21"/>
              </w:rPr>
              <w:t>★</w:t>
            </w:r>
            <w:r>
              <w:rPr>
                <w:szCs w:val="21"/>
              </w:rPr>
              <w:t>）的商务要求负偏离；</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投标文件附有招标人不能接受的条件；</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投标报价超出预算控制金额上限，或超过招标文件规定的最高投标限价；</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选择性报价或可变动报价；</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以他人的名义投标、串通投标、以行贿手段谋取中标或者以其他弄虚作假方式投标；</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拒不按照要求对投标文件进行澄清、说明、补正或者修正；</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扰乱开标、评标秩序，干扰招标工作正常进行；</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投标文件存在列放位置错误，导致属于信息公开情形的没有被公开；</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szCs w:val="21"/>
              </w:rPr>
            </w:pPr>
            <w:r>
              <w:rPr>
                <w:szCs w:val="21"/>
              </w:rPr>
              <w:t>法律法规及招标文件规定的其它情形。</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bookmarkStart w:id="22" w:name="_Toc20652"/>
          </w:p>
        </w:tc>
        <w:tc>
          <w:tcPr>
            <w:tcW w:w="8278" w:type="dxa"/>
            <w:tcBorders>
              <w:top w:val="single" w:sz="8" w:space="0" w:color="000000"/>
              <w:left w:val="single" w:sz="8" w:space="0" w:color="000000"/>
              <w:bottom w:val="single" w:sz="8" w:space="0" w:color="000000"/>
              <w:right w:val="single" w:sz="8" w:space="0" w:color="000000"/>
            </w:tcBorders>
          </w:tcPr>
          <w:p>
            <w:pPr>
              <w:rPr>
                <w:szCs w:val="21"/>
              </w:rPr>
            </w:pPr>
            <w:r>
              <w:rPr>
                <w:rFonts w:ascii="宋体" w:hAnsi="宋体" w:cs="宋体" w:hint="eastAsia"/>
                <w:b/>
                <w:bCs/>
                <w:szCs w:val="21"/>
                <w:lang w:val="en-US" w:eastAsia="zh-CN"/>
              </w:rPr>
              <w:t>根据</w:t>
            </w:r>
            <w:r>
              <w:rPr>
                <w:rFonts w:ascii="宋体" w:hAnsi="宋体" w:cs="宋体" w:hint="eastAsia"/>
                <w:b/>
                <w:bCs/>
                <w:szCs w:val="21"/>
              </w:rPr>
              <w:t>市场监管总局 住房城乡建设部关于印发《室内空气甲醛治理和检测乱象整治工作方案》的通知</w:t>
            </w:r>
            <w:r>
              <w:rPr>
                <w:rFonts w:ascii="宋体" w:hAnsi="宋体" w:cs="宋体" w:hint="eastAsia"/>
                <w:b/>
                <w:bCs/>
                <w:szCs w:val="21"/>
                <w:lang w:eastAsia="zh-CN"/>
              </w:rPr>
              <w:t>：</w:t>
            </w:r>
            <w:r>
              <w:rPr>
                <w:rFonts w:ascii="宋体" w:hAnsi="宋体" w:cs="宋体" w:hint="eastAsia"/>
                <w:b/>
                <w:bCs/>
                <w:szCs w:val="21"/>
                <w:lang w:val="en-US" w:eastAsia="zh-CN"/>
              </w:rPr>
              <w:t>甲醛检测机构不得承接治理业务，不得与治理企业存在利益关联，不得向消费者推荐、指定甲醛治理企业及产品，或者以监制、监销等方式参与甲醛治理经营活动。为落实上述监管要求，</w:t>
            </w:r>
            <w:r>
              <w:rPr>
                <w:rFonts w:ascii="宋体" w:hAnsi="宋体" w:cs="宋体" w:hint="eastAsia"/>
                <w:b/>
                <w:bCs/>
                <w:szCs w:val="21"/>
                <w:highlight w:val="yellow"/>
                <w:lang w:val="en-US" w:eastAsia="zh-CN"/>
              </w:rPr>
              <w:t>本项目 B 包（除甲醛项目）与 A 包（空气检测项目）执行兼投不兼中，评审顺序优先评审 B 包，取得 B 包第一中标候选人资格的投标人，在A 包评审时符合性审查作投标无效处理。</w:t>
            </w:r>
          </w:p>
        </w:tc>
      </w:tr>
      <w:tr>
        <w:tblPrEx>
          <w:tblW w:w="9072" w:type="dxa"/>
          <w:jc w:val="center"/>
          <w:tblLayout w:type="fixed"/>
          <w:tblCellMar>
            <w:top w:w="20" w:type="dxa"/>
            <w:left w:w="108" w:type="dxa"/>
            <w:bottom w:w="20" w:type="dxa"/>
            <w:right w:w="108" w:type="dxa"/>
          </w:tblCellMar>
        </w:tblPrEx>
        <w:trPr>
          <w:jc w:val="center"/>
        </w:trPr>
        <w:tc>
          <w:tcPr>
            <w:tcW w:w="794" w:type="dxa"/>
            <w:tcBorders>
              <w:top w:val="single" w:sz="8" w:space="0" w:color="000000"/>
              <w:left w:val="single" w:sz="8" w:space="0" w:color="000000"/>
              <w:bottom w:val="single" w:sz="8" w:space="0" w:color="000000"/>
              <w:right w:val="single" w:sz="8" w:space="0" w:color="000000"/>
            </w:tcBorders>
          </w:tcPr>
          <w:p>
            <w:pPr>
              <w:pStyle w:val="ListParagraph"/>
              <w:numPr>
                <w:ilvl w:val="0"/>
                <w:numId w:val="2"/>
              </w:numPr>
              <w:ind w:firstLineChars="0"/>
              <w:jc w:val="center"/>
              <w:rPr>
                <w:rFonts w:ascii="宋体" w:hAnsi="宋体" w:cs="宋体"/>
                <w:szCs w:val="21"/>
              </w:rPr>
            </w:pPr>
          </w:p>
        </w:tc>
        <w:tc>
          <w:tcPr>
            <w:tcW w:w="8278" w:type="dxa"/>
            <w:tcBorders>
              <w:top w:val="single" w:sz="8" w:space="0" w:color="000000"/>
              <w:left w:val="single" w:sz="8" w:space="0" w:color="000000"/>
              <w:bottom w:val="single" w:sz="8" w:space="0" w:color="000000"/>
              <w:right w:val="single" w:sz="8" w:space="0" w:color="000000"/>
            </w:tcBorders>
          </w:tcPr>
          <w:p>
            <w:pPr>
              <w:rPr>
                <w:rFonts w:ascii="宋体" w:hAnsi="宋体" w:cs="宋体" w:hint="eastAsia"/>
                <w:szCs w:val="21"/>
                <w:lang w:val="en-US" w:eastAsia="zh-CN"/>
              </w:rPr>
            </w:pPr>
            <w:r>
              <w:rPr>
                <w:rFonts w:ascii="宋体" w:hAnsi="宋体" w:cs="宋体" w:hint="eastAsia"/>
                <w:szCs w:val="21"/>
                <w:lang w:val="en-US" w:eastAsia="zh-CN"/>
              </w:rPr>
              <w:t>评审中出现下列情形之一的，评审委员会应当启动异常低价投标（响应）审查程序：</w:t>
            </w:r>
          </w:p>
          <w:p>
            <w:pPr>
              <w:rPr>
                <w:rFonts w:ascii="宋体" w:hAnsi="宋体" w:cs="宋体" w:hint="eastAsia"/>
                <w:szCs w:val="21"/>
                <w:lang w:val="en-US" w:eastAsia="zh-CN"/>
              </w:rPr>
            </w:pPr>
            <w:r>
              <w:rPr>
                <w:rFonts w:ascii="宋体" w:hAnsi="宋体" w:cs="宋体" w:hint="eastAsia"/>
                <w:szCs w:val="21"/>
                <w:lang w:val="en-US" w:eastAsia="zh-CN"/>
              </w:rPr>
              <w:t>1.投标（响应）报价低于全部通过符合性审查供应商投标（响应）报价平均值65%的，即投标（响应）报价&lt;全部通过符合性审查供应商投标（响应）报价平均值×65%；</w:t>
            </w:r>
          </w:p>
          <w:p>
            <w:pPr>
              <w:rPr>
                <w:rFonts w:ascii="宋体" w:hAnsi="宋体" w:cs="宋体" w:hint="eastAsia"/>
                <w:szCs w:val="21"/>
                <w:lang w:val="en-US" w:eastAsia="zh-CN"/>
              </w:rPr>
            </w:pPr>
            <w:r>
              <w:rPr>
                <w:rFonts w:ascii="宋体" w:hAnsi="宋体" w:cs="宋体" w:hint="eastAsia"/>
                <w:szCs w:val="21"/>
                <w:lang w:val="en-US" w:eastAsia="zh-CN"/>
              </w:rPr>
              <w:t>2.投标（响应）报价低于通过符合性审查的次低报价供应商投标（响应）报价65%的，即投标（响应）报价&lt;通过符合性审查的次低报价供应商投标（响应）报价×65%；</w:t>
            </w:r>
          </w:p>
          <w:p>
            <w:pPr>
              <w:rPr>
                <w:rFonts w:ascii="宋体" w:hAnsi="宋体" w:cs="宋体" w:hint="eastAsia"/>
                <w:szCs w:val="21"/>
                <w:lang w:val="en-US" w:eastAsia="zh-CN"/>
              </w:rPr>
            </w:pPr>
            <w:r>
              <w:rPr>
                <w:rFonts w:ascii="宋体" w:hAnsi="宋体" w:cs="宋体" w:hint="eastAsia"/>
                <w:szCs w:val="21"/>
                <w:lang w:val="en-US" w:eastAsia="zh-CN"/>
              </w:rPr>
              <w:t>3.投标（响应）报价低于采购项目最高限价65%的，即投标（响应）报价&lt;采购项目最高限价×65%；</w:t>
            </w:r>
          </w:p>
          <w:p>
            <w:pPr>
              <w:rPr>
                <w:rFonts w:ascii="宋体" w:hAnsi="宋体" w:cs="宋体" w:hint="eastAsia"/>
                <w:szCs w:val="21"/>
                <w:lang w:val="en-US" w:eastAsia="zh-CN"/>
              </w:rPr>
            </w:pPr>
            <w:r>
              <w:rPr>
                <w:rFonts w:ascii="宋体" w:hAnsi="宋体" w:cs="宋体" w:hint="eastAsia"/>
                <w:szCs w:val="21"/>
                <w:lang w:val="en-US" w:eastAsia="zh-CN"/>
              </w:rPr>
              <w:t>4.评审委员会基于专业判断，认为供应商报价过低，有可能影响产品质量或者不能诚信履约的其他情形。</w:t>
            </w:r>
          </w:p>
          <w:p>
            <w:pPr>
              <w:rPr>
                <w:rFonts w:ascii="宋体" w:hAnsi="宋体" w:cs="宋体" w:hint="eastAsia"/>
                <w:szCs w:val="21"/>
                <w:lang w:val="en-US" w:eastAsia="zh-CN"/>
              </w:rPr>
            </w:pPr>
            <w:r>
              <w:rPr>
                <w:rFonts w:ascii="宋体" w:hAnsi="宋体" w:cs="宋体" w:hint="eastAsia"/>
                <w:szCs w:val="21"/>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rPr>
                <w:rFonts w:ascii="宋体" w:hAnsi="宋体" w:cs="宋体" w:hint="eastAsia"/>
                <w:szCs w:val="21"/>
                <w:lang w:val="en-US" w:eastAsia="zh-CN"/>
              </w:rPr>
            </w:pPr>
            <w:r>
              <w:rPr>
                <w:rFonts w:ascii="宋体" w:hAnsi="宋体" w:cs="宋体" w:hint="eastAsia"/>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pPr>
        <w:pStyle w:val="NormalWeb"/>
        <w:jc w:val="center"/>
        <w:outlineLvl w:val="1"/>
        <w:rPr>
          <w:rFonts w:ascii="黑体" w:eastAsia="黑体" w:hAnsi="黑体"/>
          <w:sz w:val="40"/>
          <w:szCs w:val="40"/>
        </w:rPr>
      </w:pPr>
      <w:r>
        <w:rPr>
          <w:rFonts w:ascii="黑体" w:eastAsia="黑体" w:hAnsi="黑体" w:hint="eastAsia"/>
          <w:sz w:val="40"/>
          <w:szCs w:val="40"/>
        </w:rPr>
        <w:br w:type="page"/>
      </w:r>
      <w:bookmarkStart w:id="23" w:name="_Toc9122"/>
      <w:bookmarkStart w:id="24" w:name="_Toc256000004"/>
      <w:r>
        <w:rPr>
          <w:rFonts w:ascii="黑体" w:eastAsia="黑体" w:hAnsi="黑体" w:hint="eastAsia"/>
          <w:sz w:val="40"/>
          <w:szCs w:val="40"/>
        </w:rPr>
        <w:t>评标信息表</w:t>
      </w:r>
      <w:bookmarkEnd w:id="24"/>
      <w:bookmarkEnd w:id="18"/>
      <w:bookmarkEnd w:id="19"/>
      <w:bookmarkEnd w:id="20"/>
      <w:bookmarkEnd w:id="21"/>
      <w:bookmarkEnd w:id="22"/>
      <w:bookmarkEnd w:id="23"/>
    </w:p>
    <w:tbl>
      <w:tblPr>
        <w:tblStyle w:val="TableNormal"/>
        <w:tblW w:w="0" w:type="auto"/>
        <w:jc w:val="center"/>
        <w:tblCellSpacing w:w="0" w:type="dxa"/>
        <w:tblLayout w:type="fixed"/>
        <w:tblCellMar>
          <w:top w:w="45" w:type="dxa"/>
          <w:left w:w="45" w:type="dxa"/>
          <w:bottom w:w="45" w:type="dxa"/>
          <w:right w:w="45" w:type="dxa"/>
        </w:tblCellMar>
      </w:tblPr>
      <w:tblGrid>
        <w:gridCol w:w="8829"/>
        <w:gridCol w:w="243"/>
      </w:tblGrid>
      <w:tr>
        <w:tblPrEx>
          <w:tblW w:w="0" w:type="auto"/>
          <w:jc w:val="center"/>
          <w:tblCellSpacing w:w="0" w:type="dxa"/>
          <w:tblLayout w:type="fixed"/>
          <w:tblCellMar>
            <w:top w:w="45" w:type="dxa"/>
            <w:left w:w="45" w:type="dxa"/>
            <w:bottom w:w="45" w:type="dxa"/>
            <w:right w:w="45" w:type="dxa"/>
          </w:tblCellMar>
        </w:tblPrEx>
        <w:trPr>
          <w:tblCellSpacing w:w="0" w:type="dxa"/>
          <w:jc w:val="center"/>
        </w:trPr>
        <w:tc>
          <w:tcPr>
            <w:tcW w:w="8829" w:type="dxa"/>
            <w:tcBorders>
              <w:top w:val="nil"/>
              <w:left w:val="nil"/>
              <w:bottom w:val="nil"/>
              <w:right w:val="nil"/>
            </w:tcBorders>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cs="宋体"/>
                <w:b/>
                <w:bCs/>
                <w:sz w:val="21"/>
                <w:szCs w:val="21"/>
              </w:rPr>
            </w:pPr>
            <w:r>
              <w:rPr>
                <w:b/>
                <w:bCs/>
                <w:sz w:val="21"/>
                <w:szCs w:val="21"/>
              </w:rPr>
              <w:t>评标方法：综合评分法（新价格分算法）</w:t>
            </w:r>
          </w:p>
        </w:tc>
        <w:tc>
          <w:tcPr>
            <w:tcW w:w="243" w:type="dxa"/>
            <w:tcBorders>
              <w:top w:val="nil"/>
              <w:left w:val="nil"/>
              <w:bottom w:val="nil"/>
              <w:right w:val="nil"/>
            </w:tcBorders>
            <w:vAlign w:val="center"/>
          </w:tcPr>
          <w:p>
            <w:pPr>
              <w:keepNext w:val="0"/>
              <w:keepLines w:val="0"/>
              <w:pageBreakBefore w:val="0"/>
              <w:kinsoku/>
              <w:wordWrap/>
              <w:overflowPunct/>
              <w:topLinePunct w:val="0"/>
              <w:autoSpaceDE/>
              <w:autoSpaceDN/>
              <w:bidi w:val="0"/>
              <w:adjustRightInd/>
              <w:snapToGrid/>
              <w:spacing w:line="240" w:lineRule="auto"/>
              <w:jc w:val="right"/>
              <w:textAlignment w:val="auto"/>
              <w:rPr>
                <w:rFonts w:ascii="宋体" w:hAnsi="宋体" w:cs="宋体"/>
                <w:b/>
                <w:bCs/>
                <w:sz w:val="21"/>
                <w:szCs w:val="21"/>
              </w:rPr>
            </w:pPr>
          </w:p>
        </w:tc>
      </w:tr>
      <w:tr>
        <w:tblPrEx>
          <w:tblW w:w="0" w:type="auto"/>
          <w:jc w:val="center"/>
          <w:tblCellSpacing w:w="0" w:type="dxa"/>
          <w:tblLayout w:type="fixed"/>
          <w:tblCellMar>
            <w:top w:w="45" w:type="dxa"/>
            <w:left w:w="45" w:type="dxa"/>
            <w:bottom w:w="45" w:type="dxa"/>
            <w:right w:w="45" w:type="dxa"/>
          </w:tblCellMar>
        </w:tblPrEx>
        <w:trPr>
          <w:tblCellSpacing w:w="0" w:type="dxa"/>
          <w:jc w:val="center"/>
        </w:trPr>
        <w:tc>
          <w:tcPr>
            <w:tcW w:w="9072" w:type="dxa"/>
            <w:gridSpan w:val="2"/>
            <w:tcBorders>
              <w:top w:val="nil"/>
              <w:left w:val="nil"/>
              <w:bottom w:val="nil"/>
              <w:right w:val="nil"/>
            </w:tcBorders>
            <w:vAlign w:val="center"/>
          </w:tcPr>
          <w:p>
            <w:pPr>
              <w:pStyle w:val="NormalWeb"/>
              <w:keepNext w:val="0"/>
              <w:keepLines w:val="0"/>
              <w:pageBreakBefore w:val="0"/>
              <w:kinsoku/>
              <w:wordWrap/>
              <w:overflowPunct/>
              <w:topLinePunct w:val="0"/>
              <w:autoSpaceDE/>
              <w:autoSpaceDN/>
              <w:bidi w:val="0"/>
              <w:adjustRightInd/>
              <w:snapToGrid/>
              <w:spacing w:line="240" w:lineRule="auto"/>
              <w:ind w:firstLine="420"/>
              <w:textAlignment w:val="auto"/>
              <w:rPr>
                <w:sz w:val="21"/>
                <w:szCs w:val="21"/>
              </w:rPr>
            </w:pPr>
            <w:r>
              <w:rPr>
                <w:sz w:val="21"/>
                <w:szCs w:val="21"/>
              </w:rPr>
              <w:t xml:space="preserve">综合评分法，是指投标文件满足招标文件全部实质性要求，且按照评审因素的量化指标评审得分最高的投标人为中标候选人的评标方法。 </w:t>
            </w:r>
          </w:p>
          <w:p>
            <w:pPr>
              <w:pStyle w:val="NormalWeb"/>
              <w:keepNext w:val="0"/>
              <w:keepLines w:val="0"/>
              <w:pageBreakBefore w:val="0"/>
              <w:kinsoku/>
              <w:wordWrap/>
              <w:overflowPunct/>
              <w:topLinePunct w:val="0"/>
              <w:autoSpaceDE/>
              <w:autoSpaceDN/>
              <w:bidi w:val="0"/>
              <w:adjustRightInd/>
              <w:snapToGrid/>
              <w:spacing w:line="240" w:lineRule="auto"/>
              <w:ind w:firstLine="420"/>
              <w:textAlignment w:val="auto"/>
              <w:rPr>
                <w:sz w:val="21"/>
                <w:szCs w:val="21"/>
              </w:rPr>
            </w:pPr>
            <w:r>
              <w:rPr>
                <w:sz w:val="21"/>
                <w:szCs w:val="21"/>
              </w:rPr>
              <w:t>价格分计算方法：</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rFonts w:eastAsia="宋体" w:hint="eastAsia"/>
                <w:sz w:val="21"/>
                <w:szCs w:val="21"/>
                <w:lang w:eastAsia="zh-CN"/>
              </w:rPr>
            </w:pPr>
            <w:r>
              <w:rPr>
                <w:sz w:val="21"/>
                <w:szCs w:val="21"/>
              </w:rPr>
              <w:t xml:space="preserve">采用低价优先法计算，即满足招标文件要求且投标价格最低的投标报价为评标基准价，其价格分为满分。其他投标人的价格分统一按照下列公式计算： </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rFonts w:eastAsia="宋体" w:hint="eastAsia"/>
                <w:sz w:val="21"/>
                <w:szCs w:val="21"/>
                <w:lang w:eastAsia="zh-CN"/>
              </w:rPr>
            </w:pPr>
            <w:r>
              <w:rPr>
                <w:sz w:val="21"/>
                <w:szCs w:val="21"/>
              </w:rPr>
              <w:t xml:space="preserve">投标报价得分=(评标基准价／投标报价)×100 </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rFonts w:eastAsia="宋体" w:hint="eastAsia"/>
                <w:sz w:val="21"/>
                <w:szCs w:val="21"/>
                <w:lang w:eastAsia="zh-CN"/>
              </w:rPr>
            </w:pPr>
            <w:r>
              <w:rPr>
                <w:sz w:val="21"/>
                <w:szCs w:val="21"/>
              </w:rPr>
              <w:t xml:space="preserve">评标总得分＝F1×A1＋F2×A2＋……＋Fn×An </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rFonts w:eastAsia="宋体" w:hint="eastAsia"/>
                <w:sz w:val="21"/>
                <w:szCs w:val="21"/>
                <w:lang w:eastAsia="zh-CN"/>
              </w:rPr>
            </w:pPr>
            <w:r>
              <w:rPr>
                <w:sz w:val="21"/>
                <w:szCs w:val="21"/>
              </w:rPr>
              <w:t xml:space="preserve">F1、F2……Fn分别为各项评审因素的得分； </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rFonts w:eastAsia="宋体" w:hint="eastAsia"/>
                <w:sz w:val="21"/>
                <w:szCs w:val="21"/>
                <w:lang w:eastAsia="zh-CN"/>
              </w:rPr>
            </w:pPr>
            <w:r>
              <w:rPr>
                <w:sz w:val="21"/>
                <w:szCs w:val="21"/>
              </w:rPr>
              <w:t xml:space="preserve">A1、A2、……An 分别为各项评审因素所占的权重(A1＋A2＋……＋An＝1)。 </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rFonts w:eastAsia="宋体" w:hint="eastAsia"/>
                <w:sz w:val="21"/>
                <w:szCs w:val="21"/>
                <w:lang w:eastAsia="zh-CN"/>
              </w:rPr>
            </w:pPr>
            <w:r>
              <w:rPr>
                <w:sz w:val="21"/>
                <w:szCs w:val="21"/>
              </w:rPr>
              <w:t xml:space="preserve">评标过程中，不得去掉报价中的最高报价和最低报价。 </w:t>
            </w:r>
          </w:p>
          <w:p>
            <w:pPr>
              <w:pStyle w:val="NormalWeb"/>
              <w:keepNext w:val="0"/>
              <w:keepLines w:val="0"/>
              <w:pageBreakBefore w:val="0"/>
              <w:kinsoku/>
              <w:wordWrap/>
              <w:overflowPunct/>
              <w:topLinePunct w:val="0"/>
              <w:autoSpaceDE/>
              <w:autoSpaceDN/>
              <w:bidi w:val="0"/>
              <w:adjustRightInd/>
              <w:snapToGrid/>
              <w:spacing w:line="240" w:lineRule="auto"/>
              <w:ind w:left="420"/>
              <w:textAlignment w:val="auto"/>
              <w:rPr>
                <w:sz w:val="21"/>
                <w:szCs w:val="21"/>
              </w:rPr>
            </w:pPr>
            <w:r>
              <w:rPr>
                <w:sz w:val="21"/>
                <w:szCs w:val="21"/>
              </w:rPr>
              <w:t xml:space="preserve">此方法适用于货物类、服务类、工程类项目。 </w:t>
            </w:r>
          </w:p>
        </w:tc>
      </w:tr>
    </w:tbl>
    <w:p>
      <w:pPr>
        <w:spacing w:after="1134"/>
        <w:rPr>
          <w:vanish/>
        </w:rPr>
      </w:pPr>
    </w:p>
    <w:tbl>
      <w:tblPr>
        <w:tblStyle w:val="TableNormal"/>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
      <w:tblGrid>
        <w:gridCol w:w="653"/>
        <w:gridCol w:w="652"/>
        <w:gridCol w:w="1877"/>
        <w:gridCol w:w="984"/>
        <w:gridCol w:w="4906"/>
      </w:tblGrid>
      <w:tr>
        <w:tblPrEx>
          <w:tblW w:w="90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left w:w="108" w:type="dxa"/>
            <w:bottom w:w="20" w:type="dxa"/>
            <w:right w:w="108" w:type="dxa"/>
          </w:tblCellMar>
        </w:tblPrEx>
        <w:trPr>
          <w:jc w:val="center"/>
        </w:trPr>
        <w:tc>
          <w:tcPr>
            <w:tcW w:w="653"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sz w:val="21"/>
                <w:szCs w:val="21"/>
              </w:rPr>
            </w:pPr>
            <w:r>
              <w:rPr>
                <w:rFonts w:ascii="宋体" w:eastAsia="宋体" w:hAnsi="宋体" w:cs="宋体" w:hint="eastAsia"/>
                <w:b/>
                <w:bCs/>
                <w:sz w:val="21"/>
                <w:szCs w:val="21"/>
              </w:rPr>
              <w:t>序号</w:t>
            </w:r>
          </w:p>
        </w:tc>
        <w:tc>
          <w:tcPr>
            <w:tcW w:w="3513" w:type="dxa"/>
            <w:gridSpan w:val="3"/>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sz w:val="21"/>
                <w:szCs w:val="21"/>
              </w:rPr>
            </w:pPr>
            <w:r>
              <w:rPr>
                <w:rFonts w:ascii="宋体" w:eastAsia="宋体" w:hAnsi="宋体" w:cs="宋体" w:hint="eastAsia"/>
                <w:b/>
                <w:bCs/>
                <w:sz w:val="21"/>
                <w:szCs w:val="21"/>
              </w:rPr>
              <w:t>评分项</w:t>
            </w:r>
          </w:p>
        </w:tc>
        <w:tc>
          <w:tcPr>
            <w:tcW w:w="4906" w:type="dxa"/>
            <w:tcBorders>
              <w:top w:val="single" w:sz="8" w:space="0" w:color="000000"/>
              <w:left w:val="single" w:sz="8" w:space="0" w:color="000000"/>
              <w:bottom w:val="single" w:sz="8" w:space="0" w:color="000000"/>
              <w:right w:val="single" w:sz="8"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sz w:val="21"/>
                <w:szCs w:val="21"/>
              </w:rPr>
            </w:pPr>
            <w:r>
              <w:rPr>
                <w:rFonts w:ascii="宋体" w:eastAsia="宋体" w:hAnsi="宋体" w:cs="宋体" w:hint="eastAsia"/>
                <w:b/>
                <w:bCs/>
                <w:sz w:val="21"/>
                <w:szCs w:val="21"/>
              </w:rPr>
              <w:t>权重(%)</w:t>
            </w:r>
          </w:p>
        </w:tc>
      </w:tr>
      <w:tr>
        <w:tblPrEx>
          <w:tblW w:w="9072" w:type="dxa"/>
          <w:jc w:val="center"/>
          <w:tblLayout w:type="fixed"/>
          <w:tblCellMar>
            <w:top w:w="20" w:type="dxa"/>
            <w:left w:w="108" w:type="dxa"/>
            <w:bottom w:w="20" w:type="dxa"/>
            <w:right w:w="108" w:type="dxa"/>
          </w:tblCellMar>
        </w:tblPrEx>
        <w:trPr>
          <w:trHeight w:val="287"/>
          <w:jc w:val="center"/>
        </w:trPr>
        <w:tc>
          <w:tcPr>
            <w:tcW w:w="653" w:type="dxa"/>
            <w:tcBorders>
              <w:top w:val="single" w:sz="8" w:space="0" w:color="000000"/>
              <w:left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both"/>
              <w:textAlignment w:val="auto"/>
              <w:rPr>
                <w:rFonts w:ascii="宋体" w:eastAsia="宋体" w:hAnsi="宋体" w:cs="宋体" w:hint="eastAsia"/>
                <w:b/>
                <w:bCs/>
                <w:color w:val="0000FF"/>
                <w:sz w:val="21"/>
                <w:szCs w:val="21"/>
              </w:rPr>
            </w:pPr>
            <w:r>
              <w:rPr>
                <w:rFonts w:ascii="宋体" w:eastAsia="宋体" w:hAnsi="宋体" w:cs="宋体" w:hint="eastAsia"/>
                <w:b/>
                <w:bCs/>
                <w:color w:val="0000FF"/>
                <w:sz w:val="21"/>
                <w:szCs w:val="21"/>
              </w:rPr>
              <w:t>1</w:t>
            </w:r>
          </w:p>
        </w:tc>
        <w:tc>
          <w:tcPr>
            <w:tcW w:w="3513" w:type="dxa"/>
            <w:gridSpan w:val="3"/>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color w:val="0000FF"/>
                <w:sz w:val="21"/>
                <w:szCs w:val="21"/>
              </w:rPr>
            </w:pPr>
            <w:r>
              <w:rPr>
                <w:rFonts w:ascii="宋体" w:eastAsia="宋体" w:hAnsi="宋体" w:cs="宋体" w:hint="eastAsia"/>
                <w:b/>
                <w:bCs/>
                <w:color w:val="0000FF"/>
                <w:sz w:val="21"/>
                <w:szCs w:val="21"/>
              </w:rPr>
              <w:t>价格</w:t>
            </w:r>
          </w:p>
        </w:tc>
        <w:tc>
          <w:tcPr>
            <w:tcW w:w="4906" w:type="dxa"/>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color w:val="0000FF"/>
                <w:sz w:val="21"/>
                <w:szCs w:val="21"/>
                <w:lang w:val="en-US" w:eastAsia="zh-CN"/>
              </w:rPr>
            </w:pPr>
            <w:r>
              <w:rPr>
                <w:rFonts w:ascii="宋体" w:eastAsia="宋体" w:hAnsi="宋体" w:cs="宋体" w:hint="eastAsia"/>
                <w:b/>
                <w:bCs/>
                <w:color w:val="0000FF"/>
                <w:sz w:val="21"/>
                <w:szCs w:val="21"/>
                <w:lang w:val="en-US" w:eastAsia="zh-CN"/>
              </w:rPr>
              <w:t>10</w:t>
            </w:r>
          </w:p>
        </w:tc>
      </w:tr>
      <w:tr>
        <w:tblPrEx>
          <w:tblW w:w="9072" w:type="dxa"/>
          <w:jc w:val="center"/>
          <w:tblLayout w:type="fixed"/>
          <w:tblCellMar>
            <w:top w:w="20" w:type="dxa"/>
            <w:left w:w="108" w:type="dxa"/>
            <w:bottom w:w="20" w:type="dxa"/>
            <w:right w:w="108" w:type="dxa"/>
          </w:tblCellMar>
        </w:tblPrEx>
        <w:trPr>
          <w:jc w:val="center"/>
        </w:trPr>
        <w:tc>
          <w:tcPr>
            <w:tcW w:w="653" w:type="dxa"/>
            <w:vMerge w:val="restart"/>
            <w:tcBorders>
              <w:top w:val="single" w:sz="8" w:space="0" w:color="000000"/>
              <w:left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color w:val="0000FF"/>
                <w:sz w:val="21"/>
                <w:szCs w:val="21"/>
              </w:rPr>
            </w:pPr>
            <w:r>
              <w:rPr>
                <w:rFonts w:ascii="宋体" w:eastAsia="宋体" w:hAnsi="宋体" w:cs="宋体" w:hint="eastAsia"/>
                <w:b/>
                <w:bCs/>
                <w:color w:val="0000FF"/>
                <w:sz w:val="21"/>
                <w:szCs w:val="21"/>
              </w:rPr>
              <w:t>2</w:t>
            </w:r>
          </w:p>
        </w:tc>
        <w:tc>
          <w:tcPr>
            <w:tcW w:w="3513" w:type="dxa"/>
            <w:gridSpan w:val="3"/>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color w:val="0000FF"/>
                <w:sz w:val="21"/>
                <w:szCs w:val="21"/>
              </w:rPr>
            </w:pPr>
            <w:r>
              <w:rPr>
                <w:rFonts w:ascii="宋体" w:eastAsia="宋体" w:hAnsi="宋体" w:cs="宋体" w:hint="eastAsia"/>
                <w:b/>
                <w:bCs/>
                <w:color w:val="0000FF"/>
                <w:sz w:val="21"/>
                <w:szCs w:val="21"/>
              </w:rPr>
              <w:t>技术</w:t>
            </w:r>
          </w:p>
        </w:tc>
        <w:tc>
          <w:tcPr>
            <w:tcW w:w="4906" w:type="dxa"/>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default"/>
                <w:b/>
                <w:bCs/>
                <w:color w:val="0000FF"/>
                <w:sz w:val="21"/>
                <w:szCs w:val="21"/>
                <w:lang w:val="en-US" w:eastAsia="zh-CN"/>
              </w:rPr>
            </w:pPr>
            <w:r>
              <w:rPr>
                <w:rFonts w:ascii="宋体" w:hAnsi="宋体" w:cs="宋体" w:hint="eastAsia"/>
                <w:b/>
                <w:bCs/>
                <w:color w:val="0000FF"/>
                <w:sz w:val="21"/>
                <w:szCs w:val="21"/>
                <w:lang w:val="en-US" w:eastAsia="zh-CN"/>
              </w:rPr>
              <w:t>65</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8419" w:type="dxa"/>
            <w:gridSpan w:val="4"/>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textAlignment w:val="auto"/>
              <w:rPr>
                <w:rFonts w:ascii="宋体" w:eastAsia="宋体" w:hAnsi="宋体" w:cs="宋体" w:hint="eastAsia"/>
                <w:sz w:val="21"/>
                <w:szCs w:val="21"/>
              </w:rPr>
            </w:pP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shd w:val="clear" w:color="auto" w:fill="E6EFFA"/>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序号</w:t>
            </w:r>
          </w:p>
        </w:tc>
        <w:tc>
          <w:tcPr>
            <w:tcW w:w="1877"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评分因素</w:t>
            </w:r>
          </w:p>
        </w:tc>
        <w:tc>
          <w:tcPr>
            <w:tcW w:w="984"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权重(%)</w:t>
            </w:r>
          </w:p>
        </w:tc>
        <w:tc>
          <w:tcPr>
            <w:tcW w:w="4906"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评分准则</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1</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p>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cs="宋体" w:hint="eastAsia"/>
                <w:sz w:val="21"/>
                <w:szCs w:val="21"/>
              </w:rPr>
              <w:t>实施方案</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lang w:val="en-US" w:eastAsia="zh-CN"/>
              </w:rPr>
            </w:pPr>
            <w:r>
              <w:rPr>
                <w:rFonts w:ascii="宋体" w:hAnsi="宋体" w:cs="宋体" w:hint="eastAsia"/>
                <w:sz w:val="21"/>
                <w:szCs w:val="21"/>
                <w:lang w:val="en-US" w:eastAsia="zh-CN"/>
              </w:rPr>
              <w:t>15</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（一）评审内容：</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考察投标人提供的实施方案，方案内容包括不限于：</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1.项目</w:t>
            </w:r>
            <w:r>
              <w:rPr>
                <w:rFonts w:ascii="宋体" w:hAnsi="宋体" w:hint="eastAsia"/>
                <w:sz w:val="21"/>
                <w:szCs w:val="21"/>
                <w:lang w:val="en-US" w:eastAsia="zh-CN"/>
              </w:rPr>
              <w:t>总体服务方案</w:t>
            </w:r>
            <w:r>
              <w:rPr>
                <w:rFonts w:ascii="宋体" w:eastAsia="宋体" w:hAnsi="宋体" w:hint="eastAsia"/>
                <w:sz w:val="21"/>
                <w:szCs w:val="21"/>
              </w:rPr>
              <w:t>；</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w:t>
            </w:r>
            <w:r>
              <w:rPr>
                <w:rFonts w:ascii="宋体" w:hAnsi="宋体" w:hint="eastAsia"/>
                <w:sz w:val="21"/>
                <w:szCs w:val="21"/>
                <w:lang w:val="en-US" w:eastAsia="zh-CN"/>
              </w:rPr>
              <w:t>项目实施进度安排</w:t>
            </w:r>
            <w:r>
              <w:rPr>
                <w:rFonts w:ascii="宋体" w:eastAsia="宋体" w:hAnsi="宋体" w:hint="eastAsia"/>
                <w:sz w:val="21"/>
                <w:szCs w:val="21"/>
              </w:rPr>
              <w:t>；</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3.</w:t>
            </w:r>
            <w:r>
              <w:rPr>
                <w:rFonts w:ascii="宋体" w:eastAsia="宋体" w:hAnsi="宋体" w:hint="eastAsia"/>
                <w:sz w:val="21"/>
                <w:szCs w:val="21"/>
                <w:lang w:val="en-US" w:eastAsia="zh-CN"/>
              </w:rPr>
              <w:t>应急预</w:t>
            </w:r>
            <w:r>
              <w:rPr>
                <w:rFonts w:ascii="宋体" w:eastAsia="宋体" w:hAnsi="宋体" w:hint="eastAsia"/>
                <w:sz w:val="21"/>
                <w:szCs w:val="21"/>
              </w:rPr>
              <w:t>案。</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（二）评审标准：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1.方案满足以上3点得</w:t>
            </w:r>
            <w:r>
              <w:rPr>
                <w:rFonts w:ascii="宋体" w:hAnsi="宋体" w:hint="eastAsia"/>
                <w:sz w:val="21"/>
                <w:szCs w:val="21"/>
                <w:lang w:val="en-US" w:eastAsia="zh-CN"/>
              </w:rPr>
              <w:t>60</w:t>
            </w:r>
            <w:r>
              <w:rPr>
                <w:rFonts w:ascii="宋体" w:eastAsia="宋体" w:hAnsi="宋体" w:hint="eastAsia"/>
                <w:sz w:val="21"/>
                <w:szCs w:val="21"/>
              </w:rPr>
              <w:t>分，满足任意2点得</w:t>
            </w:r>
            <w:r>
              <w:rPr>
                <w:rFonts w:ascii="宋体" w:hAnsi="宋体" w:hint="eastAsia"/>
                <w:sz w:val="21"/>
                <w:szCs w:val="21"/>
                <w:lang w:val="en-US" w:eastAsia="zh-CN"/>
              </w:rPr>
              <w:t>40</w:t>
            </w:r>
            <w:r>
              <w:rPr>
                <w:rFonts w:ascii="宋体" w:eastAsia="宋体" w:hAnsi="宋体" w:hint="eastAsia"/>
                <w:sz w:val="21"/>
                <w:szCs w:val="21"/>
              </w:rPr>
              <w:t>分，满足任意1点得</w:t>
            </w:r>
            <w:r>
              <w:rPr>
                <w:rFonts w:ascii="宋体" w:hAnsi="宋体" w:hint="eastAsia"/>
                <w:sz w:val="21"/>
                <w:szCs w:val="21"/>
                <w:lang w:val="en-US" w:eastAsia="zh-CN"/>
              </w:rPr>
              <w:t>20</w:t>
            </w:r>
            <w:r>
              <w:rPr>
                <w:rFonts w:ascii="宋体" w:eastAsia="宋体" w:hAnsi="宋体" w:hint="eastAsia"/>
                <w:sz w:val="21"/>
                <w:szCs w:val="21"/>
              </w:rPr>
              <w:t>分，未提供或不满足不得分。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2.在此基础上进一步量化细化评审内容：</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（1）优评分标准：项目总体实施方案思路清晰，技术路线科学合理，进度安排方案可行性高，加</w:t>
            </w:r>
            <w:r>
              <w:rPr>
                <w:rFonts w:ascii="宋体" w:hAnsi="宋体" w:hint="eastAsia"/>
                <w:sz w:val="21"/>
                <w:szCs w:val="21"/>
                <w:lang w:val="en-US" w:eastAsia="zh-CN"/>
              </w:rPr>
              <w:t>40</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（2）良评分标准：项目总体实施方案思路较清晰，技术路线比较合理，进度安排方案可行性较高，加</w:t>
            </w:r>
            <w:r>
              <w:rPr>
                <w:rFonts w:ascii="宋体" w:hAnsi="宋体" w:hint="eastAsia"/>
                <w:sz w:val="21"/>
                <w:szCs w:val="21"/>
                <w:lang w:val="en-US" w:eastAsia="zh-CN"/>
              </w:rPr>
              <w:t>20</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（3）中评分标准：项目总体实施方案思路不够清晰，技术路线不够合理，进度安排方案可行性一般，加</w:t>
            </w:r>
            <w:r>
              <w:rPr>
                <w:rFonts w:ascii="宋体" w:hAnsi="宋体" w:hint="eastAsia"/>
                <w:sz w:val="21"/>
                <w:szCs w:val="21"/>
                <w:lang w:val="en-US" w:eastAsia="zh-CN"/>
              </w:rPr>
              <w:t>1</w:t>
            </w:r>
            <w:r>
              <w:rPr>
                <w:rFonts w:ascii="宋体" w:eastAsia="宋体" w:hAnsi="宋体" w:hint="eastAsia"/>
                <w:sz w:val="21"/>
                <w:szCs w:val="21"/>
              </w:rPr>
              <w:t>0分；</w:t>
            </w:r>
          </w:p>
          <w:p>
            <w:pPr>
              <w:keepNext w:val="0"/>
              <w:keepLines w:val="0"/>
              <w:pageBreakBefore w:val="0"/>
              <w:kinsoku/>
              <w:overflowPunct/>
              <w:topLinePunct w:val="0"/>
              <w:autoSpaceDE/>
              <w:autoSpaceDN/>
              <w:bidi w:val="0"/>
              <w:spacing w:line="240" w:lineRule="auto"/>
              <w:rPr>
                <w:rFonts w:ascii="宋体" w:eastAsia="宋体" w:hAnsi="宋体" w:cs="宋体" w:hint="eastAsia"/>
                <w:sz w:val="21"/>
                <w:szCs w:val="21"/>
              </w:rPr>
            </w:pPr>
            <w:r>
              <w:rPr>
                <w:rFonts w:ascii="宋体" w:eastAsia="宋体" w:hAnsi="宋体" w:hint="eastAsia"/>
                <w:sz w:val="21"/>
                <w:szCs w:val="21"/>
              </w:rPr>
              <w:t>（4）差评分标准：项目总体实施方案思路不清晰，技术路线不合理，进度安排方案可行性低，不加分；</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2</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cs="宋体" w:hint="eastAsia"/>
                <w:sz w:val="21"/>
                <w:szCs w:val="21"/>
              </w:rPr>
              <w:t>项目重点难点分析、应对措施及相关的合理化建议</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lang w:val="en-US" w:eastAsia="zh-CN"/>
              </w:rPr>
            </w:pPr>
            <w:r>
              <w:rPr>
                <w:rFonts w:ascii="宋体" w:hAnsi="宋体" w:cs="宋体" w:hint="eastAsia"/>
                <w:sz w:val="21"/>
                <w:szCs w:val="21"/>
                <w:lang w:val="en-US" w:eastAsia="zh-CN"/>
              </w:rPr>
              <w:t>15</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（一）评审内容：</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根据投标人提供项目难点重点分析、应对措施及相关的合理化建议方案进行评审，内容包括不限于：</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（1）对项目难点重点进行分析；</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（2）解决方案及应对措施；</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（3）相关合理化建议。</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（二）评审标准：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1.提供以上3点得</w:t>
            </w:r>
            <w:r>
              <w:rPr>
                <w:rFonts w:ascii="宋体" w:hAnsi="宋体" w:hint="eastAsia"/>
                <w:sz w:val="21"/>
                <w:szCs w:val="21"/>
                <w:lang w:val="en-US" w:eastAsia="zh-CN"/>
              </w:rPr>
              <w:t>60</w:t>
            </w:r>
            <w:r>
              <w:rPr>
                <w:rFonts w:ascii="宋体" w:eastAsia="宋体" w:hAnsi="宋体" w:hint="eastAsia"/>
                <w:sz w:val="21"/>
                <w:szCs w:val="21"/>
              </w:rPr>
              <w:t>分，任意2点得</w:t>
            </w:r>
            <w:r>
              <w:rPr>
                <w:rFonts w:ascii="宋体" w:hAnsi="宋体" w:hint="eastAsia"/>
                <w:sz w:val="21"/>
                <w:szCs w:val="21"/>
                <w:lang w:val="en-US" w:eastAsia="zh-CN"/>
              </w:rPr>
              <w:t>40</w:t>
            </w:r>
            <w:r>
              <w:rPr>
                <w:rFonts w:ascii="宋体" w:eastAsia="宋体" w:hAnsi="宋体" w:hint="eastAsia"/>
                <w:sz w:val="21"/>
                <w:szCs w:val="21"/>
              </w:rPr>
              <w:t>分，任意1点得10分，未提供或不满足不得分。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2.在此基础上进一步量化细化评审内容：</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（1）优评分标准：重点难点分析全面，解决方案及应对措施可行性高，相关建议科学合理，加</w:t>
            </w:r>
            <w:r>
              <w:rPr>
                <w:rFonts w:ascii="宋体" w:hAnsi="宋体" w:hint="eastAsia"/>
                <w:sz w:val="21"/>
                <w:szCs w:val="21"/>
                <w:lang w:val="en-US" w:eastAsia="zh-CN"/>
              </w:rPr>
              <w:t>40</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（2）良评分标准：重点难点分析比较全面，解决方案及应对措施可行性较高，相关建议比较合理，加</w:t>
            </w:r>
            <w:r>
              <w:rPr>
                <w:rFonts w:ascii="宋体" w:hAnsi="宋体" w:hint="eastAsia"/>
                <w:sz w:val="21"/>
                <w:szCs w:val="21"/>
                <w:lang w:val="en-US" w:eastAsia="zh-CN"/>
              </w:rPr>
              <w:t>20</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（3）中评分标准：重点难点分析不够全面，解决方案及应对措施可行性一般，相关建议不够合理，加</w:t>
            </w:r>
            <w:r>
              <w:rPr>
                <w:rFonts w:ascii="宋体" w:hAnsi="宋体" w:hint="eastAsia"/>
                <w:sz w:val="21"/>
                <w:szCs w:val="21"/>
                <w:lang w:val="en-US" w:eastAsia="zh-CN"/>
              </w:rPr>
              <w:t>1</w:t>
            </w:r>
            <w:r>
              <w:rPr>
                <w:rFonts w:ascii="宋体" w:eastAsia="宋体" w:hAnsi="宋体" w:hint="eastAsia"/>
                <w:sz w:val="21"/>
                <w:szCs w:val="21"/>
              </w:rPr>
              <w:t>0分；</w:t>
            </w:r>
          </w:p>
          <w:p>
            <w:pPr>
              <w:keepNext w:val="0"/>
              <w:keepLines w:val="0"/>
              <w:pageBreakBefore w:val="0"/>
              <w:kinsoku/>
              <w:overflowPunct/>
              <w:topLinePunct w:val="0"/>
              <w:autoSpaceDE/>
              <w:autoSpaceDN/>
              <w:bidi w:val="0"/>
              <w:spacing w:line="240" w:lineRule="auto"/>
              <w:rPr>
                <w:rFonts w:ascii="宋体" w:eastAsia="宋体" w:hAnsi="宋体" w:cs="宋体" w:hint="eastAsia"/>
                <w:color w:val="000000"/>
                <w:sz w:val="21"/>
                <w:szCs w:val="21"/>
              </w:rPr>
            </w:pPr>
            <w:r>
              <w:rPr>
                <w:rFonts w:ascii="宋体" w:eastAsia="宋体" w:hAnsi="宋体" w:hint="eastAsia"/>
                <w:sz w:val="21"/>
                <w:szCs w:val="21"/>
              </w:rPr>
              <w:t>（4）差评分标准：重点难点分析不全面，应对措施可行性低，相关建议不合理，不加分。</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3</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cs="宋体" w:hint="eastAsia"/>
                <w:sz w:val="21"/>
                <w:szCs w:val="21"/>
              </w:rPr>
              <w:t>质量（完成时间、安全）保障措施及方案</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lang w:val="en-US" w:eastAsia="zh-CN"/>
              </w:rPr>
            </w:pPr>
            <w:r>
              <w:rPr>
                <w:rFonts w:ascii="宋体" w:hAnsi="宋体" w:cs="宋体" w:hint="eastAsia"/>
                <w:sz w:val="21"/>
                <w:szCs w:val="21"/>
                <w:lang w:val="en-US" w:eastAsia="zh-CN"/>
              </w:rPr>
              <w:t>15</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（一）评</w:t>
            </w:r>
            <w:r>
              <w:rPr>
                <w:rFonts w:ascii="宋体" w:eastAsia="宋体" w:hAnsi="宋体" w:cs="宋体" w:hint="eastAsia"/>
                <w:b/>
                <w:bCs/>
                <w:kern w:val="0"/>
                <w:sz w:val="21"/>
                <w:szCs w:val="21"/>
              </w:rPr>
              <w:t>分</w:t>
            </w:r>
            <w:r>
              <w:rPr>
                <w:rFonts w:ascii="宋体" w:eastAsia="宋体" w:hAnsi="宋体" w:cs="宋体" w:hint="eastAsia"/>
                <w:b/>
                <w:kern w:val="0"/>
                <w:sz w:val="21"/>
                <w:szCs w:val="21"/>
              </w:rPr>
              <w:t>内容：</w:t>
            </w:r>
          </w:p>
          <w:p>
            <w:pPr>
              <w:keepNext w:val="0"/>
              <w:keepLines w:val="0"/>
              <w:pageBreakBefore w:val="0"/>
              <w:kinsoku/>
              <w:overflowPunct/>
              <w:topLinePunct w:val="0"/>
              <w:autoSpaceDE/>
              <w:autoSpaceDN/>
              <w:bidi w:val="0"/>
              <w:spacing w:line="240" w:lineRule="auto"/>
              <w:rPr>
                <w:rFonts w:ascii="宋体" w:eastAsia="宋体" w:hAnsi="宋体" w:cs="宋体" w:hint="eastAsia"/>
                <w:kern w:val="0"/>
                <w:sz w:val="21"/>
                <w:szCs w:val="21"/>
              </w:rPr>
            </w:pPr>
            <w:r>
              <w:rPr>
                <w:rFonts w:ascii="宋体" w:eastAsia="宋体" w:hAnsi="宋体" w:cs="宋体" w:hint="eastAsia"/>
                <w:kern w:val="0"/>
                <w:sz w:val="21"/>
                <w:szCs w:val="21"/>
              </w:rPr>
              <w:t>评审委员会根据投标人针对项目需求提供的</w:t>
            </w:r>
            <w:r>
              <w:rPr>
                <w:rFonts w:ascii="宋体" w:eastAsia="宋体" w:hAnsi="宋体" w:cs="宋体" w:hint="eastAsia"/>
                <w:sz w:val="21"/>
                <w:szCs w:val="21"/>
              </w:rPr>
              <w:t>质量（完成时间、安全）保障措施及方案</w:t>
            </w:r>
            <w:r>
              <w:rPr>
                <w:rFonts w:ascii="宋体" w:eastAsia="宋体" w:hAnsi="宋体" w:cs="宋体" w:hint="eastAsia"/>
                <w:kern w:val="0"/>
                <w:sz w:val="21"/>
                <w:szCs w:val="21"/>
              </w:rPr>
              <w:t>进行评审，包括以下内容：</w:t>
            </w:r>
          </w:p>
          <w:p>
            <w:pPr>
              <w:keepNext w:val="0"/>
              <w:keepLines w:val="0"/>
              <w:pageBreakBefore w:val="0"/>
              <w:kinsoku/>
              <w:overflowPunct/>
              <w:topLinePunct w:val="0"/>
              <w:autoSpaceDE/>
              <w:autoSpaceDN/>
              <w:bidi w:val="0"/>
              <w:spacing w:line="240" w:lineRule="auto"/>
              <w:rPr>
                <w:rFonts w:ascii="宋体" w:eastAsia="宋体" w:hAnsi="宋体" w:cs="宋体" w:hint="eastAsia"/>
                <w:kern w:val="0"/>
                <w:sz w:val="21"/>
                <w:szCs w:val="21"/>
              </w:rPr>
            </w:pPr>
            <w:r>
              <w:rPr>
                <w:rFonts w:ascii="宋体" w:eastAsia="宋体" w:hAnsi="宋体" w:cs="宋体" w:hint="eastAsia"/>
                <w:kern w:val="0"/>
                <w:sz w:val="21"/>
                <w:szCs w:val="21"/>
              </w:rPr>
              <w:t>1.项目进度安排计划；</w:t>
            </w:r>
          </w:p>
          <w:p>
            <w:pPr>
              <w:keepNext w:val="0"/>
              <w:keepLines w:val="0"/>
              <w:pageBreakBefore w:val="0"/>
              <w:kinsoku/>
              <w:overflowPunct/>
              <w:topLinePunct w:val="0"/>
              <w:autoSpaceDE/>
              <w:autoSpaceDN/>
              <w:bidi w:val="0"/>
              <w:spacing w:line="240" w:lineRule="auto"/>
              <w:rPr>
                <w:rFonts w:ascii="宋体" w:eastAsia="宋体" w:hAnsi="宋体" w:cs="宋体" w:hint="eastAsia"/>
                <w:kern w:val="0"/>
                <w:sz w:val="21"/>
                <w:szCs w:val="21"/>
              </w:rPr>
            </w:pPr>
            <w:r>
              <w:rPr>
                <w:rFonts w:ascii="宋体" w:eastAsia="宋体" w:hAnsi="宋体" w:cs="宋体" w:hint="eastAsia"/>
                <w:kern w:val="0"/>
                <w:sz w:val="21"/>
                <w:szCs w:val="21"/>
              </w:rPr>
              <w:t>2.服务过程的安全性和环保性；</w:t>
            </w:r>
          </w:p>
          <w:p>
            <w:pPr>
              <w:keepNext w:val="0"/>
              <w:keepLines w:val="0"/>
              <w:pageBreakBefore w:val="0"/>
              <w:kinsoku/>
              <w:overflowPunct/>
              <w:topLinePunct w:val="0"/>
              <w:autoSpaceDE/>
              <w:autoSpaceDN/>
              <w:bidi w:val="0"/>
              <w:spacing w:line="240" w:lineRule="auto"/>
              <w:rPr>
                <w:rFonts w:ascii="宋体" w:eastAsia="宋体" w:hAnsi="宋体" w:cs="宋体" w:hint="eastAsia"/>
                <w:kern w:val="0"/>
                <w:sz w:val="21"/>
                <w:szCs w:val="21"/>
              </w:rPr>
            </w:pPr>
            <w:r>
              <w:rPr>
                <w:rFonts w:ascii="宋体" w:eastAsia="宋体" w:hAnsi="宋体" w:cs="宋体" w:hint="eastAsia"/>
                <w:kern w:val="0"/>
                <w:sz w:val="21"/>
                <w:szCs w:val="21"/>
              </w:rPr>
              <w:t>3.质量保障措施。</w:t>
            </w:r>
          </w:p>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（二）评分标准：</w:t>
            </w:r>
          </w:p>
          <w:p>
            <w:pPr>
              <w:keepNext w:val="0"/>
              <w:keepLines w:val="0"/>
              <w:pageBreakBefore w:val="0"/>
              <w:kinsoku/>
              <w:overflowPunct/>
              <w:topLinePunct w:val="0"/>
              <w:autoSpaceDE/>
              <w:autoSpaceDN/>
              <w:bidi w:val="0"/>
              <w:adjustRightInd w:val="0"/>
              <w:snapToGrid w:val="0"/>
              <w:spacing w:line="240" w:lineRule="auto"/>
              <w:rPr>
                <w:rFonts w:ascii="宋体" w:hAnsi="宋体" w:cs="宋体"/>
                <w:sz w:val="21"/>
                <w:szCs w:val="21"/>
              </w:rPr>
            </w:pPr>
            <w:r>
              <w:rPr>
                <w:rFonts w:ascii="宋体" w:hAnsi="宋体" w:cs="宋体" w:hint="eastAsia"/>
                <w:sz w:val="21"/>
                <w:szCs w:val="21"/>
              </w:rPr>
              <w:t>1、</w:t>
            </w:r>
            <w:r>
              <w:rPr>
                <w:rFonts w:asciiTheme="minorEastAsia" w:eastAsiaTheme="minorEastAsia" w:hAnsiTheme="minorEastAsia" w:cs="仿宋" w:hint="eastAsia"/>
                <w:kern w:val="0"/>
                <w:sz w:val="21"/>
                <w:szCs w:val="21"/>
              </w:rPr>
              <w:t>满足上述三项内容的得</w:t>
            </w:r>
            <w:r>
              <w:rPr>
                <w:rFonts w:asciiTheme="minorEastAsia" w:eastAsiaTheme="minorEastAsia" w:hAnsiTheme="minorEastAsia" w:cs="仿宋" w:hint="eastAsia"/>
                <w:kern w:val="0"/>
                <w:sz w:val="21"/>
                <w:szCs w:val="21"/>
                <w:lang w:val="en-US" w:eastAsia="zh-CN"/>
              </w:rPr>
              <w:t>60</w:t>
            </w:r>
            <w:r>
              <w:rPr>
                <w:rFonts w:asciiTheme="minorEastAsia" w:eastAsiaTheme="minorEastAsia" w:hAnsiTheme="minorEastAsia" w:cs="仿宋" w:hint="eastAsia"/>
                <w:kern w:val="0"/>
                <w:sz w:val="21"/>
                <w:szCs w:val="21"/>
              </w:rPr>
              <w:t>分；满足上述任意两项的得</w:t>
            </w:r>
            <w:r>
              <w:rPr>
                <w:rFonts w:asciiTheme="minorEastAsia" w:eastAsiaTheme="minorEastAsia" w:hAnsiTheme="minorEastAsia" w:cs="仿宋" w:hint="eastAsia"/>
                <w:kern w:val="0"/>
                <w:sz w:val="21"/>
                <w:szCs w:val="21"/>
                <w:lang w:val="en-US" w:eastAsia="zh-CN"/>
              </w:rPr>
              <w:t>40</w:t>
            </w:r>
            <w:r>
              <w:rPr>
                <w:rFonts w:asciiTheme="minorEastAsia" w:eastAsiaTheme="minorEastAsia" w:hAnsiTheme="minorEastAsia" w:cs="仿宋" w:hint="eastAsia"/>
                <w:kern w:val="0"/>
                <w:sz w:val="21"/>
                <w:szCs w:val="21"/>
              </w:rPr>
              <w:t>分；满足任意上述一项的得</w:t>
            </w:r>
            <w:r>
              <w:rPr>
                <w:rFonts w:asciiTheme="minorEastAsia" w:eastAsiaTheme="minorEastAsia" w:hAnsiTheme="minorEastAsia" w:cs="仿宋" w:hint="eastAsia"/>
                <w:kern w:val="0"/>
                <w:sz w:val="21"/>
                <w:szCs w:val="21"/>
                <w:lang w:val="en-US" w:eastAsia="zh-CN"/>
              </w:rPr>
              <w:t>20</w:t>
            </w:r>
            <w:r>
              <w:rPr>
                <w:rFonts w:asciiTheme="minorEastAsia" w:eastAsiaTheme="minorEastAsia" w:hAnsiTheme="minorEastAsia" w:cs="仿宋" w:hint="eastAsia"/>
                <w:kern w:val="0"/>
                <w:sz w:val="21"/>
                <w:szCs w:val="21"/>
              </w:rPr>
              <w:t>分；其他不得分。</w:t>
            </w:r>
          </w:p>
          <w:p>
            <w:pPr>
              <w:keepNext w:val="0"/>
              <w:keepLines w:val="0"/>
              <w:pageBreakBefore w:val="0"/>
              <w:kinsoku/>
              <w:overflowPunct/>
              <w:topLinePunct w:val="0"/>
              <w:autoSpaceDE/>
              <w:autoSpaceDN/>
              <w:bidi w:val="0"/>
              <w:adjustRightInd w:val="0"/>
              <w:snapToGrid w:val="0"/>
              <w:spacing w:line="240" w:lineRule="auto"/>
              <w:rPr>
                <w:rFonts w:ascii="宋体" w:hAnsi="宋体" w:cs="宋体"/>
                <w:sz w:val="21"/>
                <w:szCs w:val="21"/>
              </w:rPr>
            </w:pPr>
            <w:r>
              <w:rPr>
                <w:rFonts w:ascii="宋体" w:hAnsi="宋体" w:cs="宋体" w:hint="eastAsia"/>
                <w:sz w:val="21"/>
                <w:szCs w:val="21"/>
              </w:rPr>
              <w:t>2、在此基础上，专家根据投标供应商方案的具体响应内容的评审因素进一步评审：</w:t>
            </w:r>
          </w:p>
          <w:p>
            <w:pPr>
              <w:keepNext w:val="0"/>
              <w:keepLines w:val="0"/>
              <w:pageBreakBefore w:val="0"/>
              <w:kinsoku/>
              <w:overflowPunct/>
              <w:topLinePunct w:val="0"/>
              <w:autoSpaceDE/>
              <w:autoSpaceDN/>
              <w:bidi w:val="0"/>
              <w:snapToGrid w:val="0"/>
              <w:spacing w:line="240" w:lineRule="auto"/>
              <w:rPr>
                <w:rFonts w:ascii="宋体" w:hAnsi="宋体" w:cs="宋体"/>
                <w:sz w:val="21"/>
                <w:szCs w:val="21"/>
              </w:rPr>
            </w:pPr>
            <w:r>
              <w:rPr>
                <w:rFonts w:ascii="宋体" w:hAnsi="宋体" w:cs="宋体" w:hint="eastAsia"/>
                <w:sz w:val="21"/>
                <w:szCs w:val="21"/>
              </w:rPr>
              <w:t>（1）优评分标准：内容全面、方案合理，与项目实际情况结合紧密，符合本项目特性，加</w:t>
            </w:r>
            <w:r>
              <w:rPr>
                <w:rFonts w:ascii="宋体" w:hAnsi="宋体" w:cs="宋体" w:hint="eastAsia"/>
                <w:sz w:val="21"/>
                <w:szCs w:val="21"/>
                <w:lang w:val="en-US" w:eastAsia="zh-CN"/>
              </w:rPr>
              <w:t>40</w:t>
            </w:r>
            <w:r>
              <w:rPr>
                <w:rFonts w:ascii="宋体" w:hAnsi="宋体" w:cs="宋体" w:hint="eastAsia"/>
                <w:sz w:val="21"/>
                <w:szCs w:val="21"/>
              </w:rPr>
              <w:t>分；</w:t>
            </w:r>
          </w:p>
          <w:p>
            <w:pPr>
              <w:keepNext w:val="0"/>
              <w:keepLines w:val="0"/>
              <w:pageBreakBefore w:val="0"/>
              <w:kinsoku/>
              <w:overflowPunct/>
              <w:topLinePunct w:val="0"/>
              <w:autoSpaceDE/>
              <w:autoSpaceDN/>
              <w:bidi w:val="0"/>
              <w:adjustRightInd w:val="0"/>
              <w:snapToGrid w:val="0"/>
              <w:spacing w:line="240" w:lineRule="auto"/>
              <w:rPr>
                <w:rFonts w:ascii="宋体" w:hAnsi="宋体" w:cs="宋体"/>
                <w:sz w:val="21"/>
                <w:szCs w:val="21"/>
              </w:rPr>
            </w:pPr>
            <w:r>
              <w:rPr>
                <w:rFonts w:ascii="宋体" w:hAnsi="宋体" w:cs="宋体" w:hint="eastAsia"/>
                <w:sz w:val="21"/>
                <w:szCs w:val="21"/>
              </w:rPr>
              <w:t>（2）良评分标准：内容较全面、方案较合理，与项目实际情况结合较紧密，部分符合本项目特性，加</w:t>
            </w:r>
            <w:r>
              <w:rPr>
                <w:rFonts w:ascii="宋体" w:hAnsi="宋体" w:cs="宋体" w:hint="eastAsia"/>
                <w:sz w:val="21"/>
                <w:szCs w:val="21"/>
                <w:lang w:val="en-US" w:eastAsia="zh-CN"/>
              </w:rPr>
              <w:t>20</w:t>
            </w:r>
            <w:r>
              <w:rPr>
                <w:rFonts w:ascii="宋体" w:hAnsi="宋体" w:cs="宋体" w:hint="eastAsia"/>
                <w:sz w:val="21"/>
                <w:szCs w:val="21"/>
              </w:rPr>
              <w:t>分；</w:t>
            </w:r>
          </w:p>
          <w:p>
            <w:pPr>
              <w:keepNext w:val="0"/>
              <w:keepLines w:val="0"/>
              <w:pageBreakBefore w:val="0"/>
              <w:kinsoku/>
              <w:overflowPunct/>
              <w:topLinePunct w:val="0"/>
              <w:autoSpaceDE/>
              <w:autoSpaceDN/>
              <w:bidi w:val="0"/>
              <w:adjustRightInd w:val="0"/>
              <w:snapToGrid w:val="0"/>
              <w:spacing w:line="240" w:lineRule="auto"/>
              <w:rPr>
                <w:rFonts w:ascii="宋体" w:hAnsi="宋体" w:cs="宋体"/>
                <w:sz w:val="21"/>
                <w:szCs w:val="21"/>
              </w:rPr>
            </w:pPr>
            <w:r>
              <w:rPr>
                <w:rFonts w:ascii="宋体" w:hAnsi="宋体" w:cs="宋体" w:hint="eastAsia"/>
                <w:sz w:val="21"/>
                <w:szCs w:val="21"/>
              </w:rPr>
              <w:t>（3）中评分标准：内容不够完整、方案合理性不够，</w:t>
            </w:r>
          </w:p>
          <w:p>
            <w:pPr>
              <w:keepNext w:val="0"/>
              <w:keepLines w:val="0"/>
              <w:pageBreakBefore w:val="0"/>
              <w:kinsoku/>
              <w:overflowPunct/>
              <w:topLinePunct w:val="0"/>
              <w:autoSpaceDE/>
              <w:autoSpaceDN/>
              <w:bidi w:val="0"/>
              <w:adjustRightInd w:val="0"/>
              <w:snapToGrid w:val="0"/>
              <w:spacing w:line="240" w:lineRule="auto"/>
              <w:rPr>
                <w:rFonts w:ascii="宋体" w:hAnsi="宋体" w:cs="宋体"/>
                <w:sz w:val="21"/>
                <w:szCs w:val="21"/>
              </w:rPr>
            </w:pPr>
            <w:r>
              <w:rPr>
                <w:rFonts w:ascii="宋体" w:hAnsi="宋体" w:cs="宋体" w:hint="eastAsia"/>
                <w:sz w:val="21"/>
                <w:szCs w:val="21"/>
              </w:rPr>
              <w:t>与项目实际情况结合紧密一般，仅少部分符合本项目特性，加</w:t>
            </w:r>
            <w:r>
              <w:rPr>
                <w:rFonts w:ascii="宋体" w:hAnsi="宋体" w:cs="宋体" w:hint="eastAsia"/>
                <w:sz w:val="21"/>
                <w:szCs w:val="21"/>
                <w:lang w:val="en-US" w:eastAsia="zh-CN"/>
              </w:rPr>
              <w:t>10</w:t>
            </w:r>
            <w:r>
              <w:rPr>
                <w:rFonts w:ascii="宋体" w:hAnsi="宋体" w:cs="宋体" w:hint="eastAsia"/>
                <w:sz w:val="21"/>
                <w:szCs w:val="21"/>
              </w:rPr>
              <w:t>分；</w:t>
            </w:r>
          </w:p>
          <w:p>
            <w:pPr>
              <w:keepNext w:val="0"/>
              <w:keepLines w:val="0"/>
              <w:pageBreakBefore w:val="0"/>
              <w:kinsoku/>
              <w:overflowPunct/>
              <w:topLinePunct w:val="0"/>
              <w:autoSpaceDE/>
              <w:autoSpaceDN/>
              <w:bidi w:val="0"/>
              <w:snapToGrid w:val="0"/>
              <w:spacing w:line="240" w:lineRule="auto"/>
              <w:rPr>
                <w:rFonts w:ascii="宋体" w:hAnsi="宋体" w:cs="宋体"/>
                <w:sz w:val="21"/>
                <w:szCs w:val="21"/>
              </w:rPr>
            </w:pPr>
            <w:r>
              <w:rPr>
                <w:rFonts w:ascii="宋体" w:hAnsi="宋体" w:cs="宋体" w:hint="eastAsia"/>
                <w:sz w:val="21"/>
                <w:szCs w:val="21"/>
              </w:rPr>
              <w:t>（4）差评分标准：内容不完成，方案合理性较差，</w:t>
            </w:r>
          </w:p>
          <w:p>
            <w:pPr>
              <w:keepNext w:val="0"/>
              <w:keepLines w:val="0"/>
              <w:pageBreakBefore w:val="0"/>
              <w:kinsoku/>
              <w:overflowPunct/>
              <w:topLinePunct w:val="0"/>
              <w:autoSpaceDE/>
              <w:autoSpaceDN/>
              <w:bidi w:val="0"/>
              <w:snapToGrid w:val="0"/>
              <w:spacing w:line="240" w:lineRule="auto"/>
              <w:rPr>
                <w:rFonts w:ascii="宋体" w:hAnsi="宋体" w:cs="宋体"/>
                <w:sz w:val="21"/>
                <w:szCs w:val="21"/>
              </w:rPr>
            </w:pPr>
            <w:r>
              <w:rPr>
                <w:rFonts w:ascii="宋体" w:hAnsi="宋体" w:cs="宋体" w:hint="eastAsia"/>
                <w:sz w:val="21"/>
                <w:szCs w:val="21"/>
              </w:rPr>
              <w:t>不符合本项目特性或内容未提供，不得分。</w:t>
            </w:r>
          </w:p>
          <w:p>
            <w:pPr>
              <w:keepNext w:val="0"/>
              <w:keepLines w:val="0"/>
              <w:pageBreakBefore w:val="0"/>
              <w:kinsoku/>
              <w:overflowPunct/>
              <w:topLinePunct w:val="0"/>
              <w:autoSpaceDE/>
              <w:autoSpaceDN/>
              <w:bidi w:val="0"/>
              <w:spacing w:line="240" w:lineRule="auto"/>
              <w:rPr>
                <w:rFonts w:ascii="宋体" w:eastAsia="宋体" w:hAnsi="宋体" w:cs="宋体" w:hint="eastAsia"/>
                <w:color w:val="000000"/>
                <w:sz w:val="21"/>
                <w:szCs w:val="21"/>
              </w:rPr>
            </w:pPr>
            <w:r>
              <w:rPr>
                <w:rFonts w:ascii="宋体" w:eastAsia="宋体" w:hAnsi="宋体" w:cs="宋体" w:hint="eastAsia"/>
                <w:sz w:val="21"/>
                <w:szCs w:val="21"/>
              </w:rPr>
              <w:t>以上累计得分，最高得100分</w:t>
            </w:r>
          </w:p>
        </w:tc>
      </w:tr>
      <w:tr>
        <w:tblPrEx>
          <w:tblW w:w="9072" w:type="dxa"/>
          <w:jc w:val="center"/>
          <w:tblLayout w:type="fixed"/>
          <w:tblCellMar>
            <w:top w:w="20" w:type="dxa"/>
            <w:left w:w="108" w:type="dxa"/>
            <w:bottom w:w="20" w:type="dxa"/>
            <w:right w:w="108" w:type="dxa"/>
          </w:tblCellMar>
        </w:tblPrEx>
        <w:trPr>
          <w:trHeight w:val="969"/>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4</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cs="宋体" w:hint="eastAsia"/>
                <w:sz w:val="21"/>
                <w:szCs w:val="21"/>
              </w:rPr>
              <w:t>拟安排的项目负责人情况（仅限一人）</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lang w:val="en-US" w:eastAsia="zh-CN"/>
              </w:rPr>
            </w:pPr>
            <w:r>
              <w:rPr>
                <w:rFonts w:ascii="宋体" w:hAnsi="宋体" w:cs="宋体" w:hint="eastAsia"/>
                <w:sz w:val="21"/>
                <w:szCs w:val="21"/>
                <w:lang w:val="en-US" w:eastAsia="zh-CN"/>
              </w:rPr>
              <w:t>10</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（一）评审内容：</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拟安排项目负责人为投标单位员工，否则本项不得分。</w:t>
            </w:r>
          </w:p>
          <w:p>
            <w:pPr>
              <w:keepNext w:val="0"/>
              <w:keepLines w:val="0"/>
              <w:pageBreakBefore w:val="0"/>
              <w:kinsoku/>
              <w:overflowPunct/>
              <w:topLinePunct w:val="0"/>
              <w:autoSpaceDE/>
              <w:autoSpaceDN/>
              <w:bidi w:val="0"/>
              <w:spacing w:line="240" w:lineRule="auto"/>
              <w:rPr>
                <w:rFonts w:ascii="宋体" w:eastAsia="宋体" w:hAnsi="宋体" w:hint="eastAsia"/>
                <w:sz w:val="21"/>
                <w:szCs w:val="21"/>
                <w:lang w:val="en-US" w:eastAsia="zh-CN"/>
              </w:rPr>
            </w:pPr>
            <w:r>
              <w:rPr>
                <w:rFonts w:ascii="宋体" w:eastAsia="宋体" w:hAnsi="宋体" w:hint="eastAsia"/>
                <w:sz w:val="21"/>
                <w:szCs w:val="21"/>
              </w:rPr>
              <w:t>1</w:t>
            </w:r>
            <w:r>
              <w:rPr>
                <w:rFonts w:ascii="宋体" w:hAnsi="宋体" w:hint="eastAsia"/>
                <w:sz w:val="21"/>
                <w:szCs w:val="21"/>
                <w:lang w:val="en-US" w:eastAsia="zh-CN"/>
              </w:rPr>
              <w:t>.</w:t>
            </w:r>
            <w:r>
              <w:rPr>
                <w:rFonts w:ascii="宋体" w:hAnsi="宋体" w:cs="宋体" w:hint="eastAsia"/>
                <w:sz w:val="21"/>
                <w:szCs w:val="21"/>
                <w:lang w:val="en-US" w:eastAsia="zh-CN"/>
              </w:rPr>
              <w:t>具有本科或以上学历的，得35分；具有大专学历的，得15分；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2.</w:t>
            </w:r>
            <w:r>
              <w:rPr>
                <w:rFonts w:ascii="宋体" w:eastAsia="宋体" w:hAnsi="宋体" w:hint="eastAsia"/>
                <w:sz w:val="21"/>
                <w:szCs w:val="21"/>
              </w:rPr>
              <w:t>具有</w:t>
            </w:r>
            <w:r>
              <w:rPr>
                <w:rFonts w:ascii="宋体" w:eastAsia="宋体" w:hAnsi="宋体" w:hint="eastAsia"/>
                <w:sz w:val="21"/>
                <w:szCs w:val="21"/>
                <w:lang w:val="en-US" w:eastAsia="zh-CN"/>
              </w:rPr>
              <w:t>环境</w:t>
            </w:r>
            <w:r>
              <w:rPr>
                <w:rFonts w:ascii="宋体" w:eastAsia="宋体" w:hAnsi="宋体" w:hint="eastAsia"/>
                <w:sz w:val="21"/>
                <w:szCs w:val="21"/>
              </w:rPr>
              <w:t>或化学类专业</w:t>
            </w:r>
            <w:r>
              <w:rPr>
                <w:rFonts w:ascii="宋体" w:hAnsi="宋体" w:hint="eastAsia"/>
                <w:sz w:val="21"/>
                <w:szCs w:val="21"/>
                <w:lang w:val="en-US" w:eastAsia="zh-CN"/>
              </w:rPr>
              <w:t>副高</w:t>
            </w:r>
            <w:r>
              <w:rPr>
                <w:rFonts w:ascii="宋体" w:eastAsia="宋体" w:hAnsi="宋体" w:hint="eastAsia"/>
                <w:sz w:val="21"/>
                <w:szCs w:val="21"/>
              </w:rPr>
              <w:t>级以上职称的得</w:t>
            </w:r>
            <w:r>
              <w:rPr>
                <w:rFonts w:ascii="宋体" w:hAnsi="宋体" w:hint="eastAsia"/>
                <w:sz w:val="21"/>
                <w:szCs w:val="21"/>
                <w:lang w:val="en-US" w:eastAsia="zh-CN"/>
              </w:rPr>
              <w:t>35</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3.</w:t>
            </w:r>
            <w:r>
              <w:rPr>
                <w:rFonts w:ascii="宋体" w:eastAsia="宋体" w:hAnsi="宋体" w:hint="eastAsia"/>
                <w:sz w:val="21"/>
                <w:szCs w:val="21"/>
              </w:rPr>
              <w:t>具有政府部门</w:t>
            </w:r>
            <w:r>
              <w:rPr>
                <w:rFonts w:ascii="宋体" w:hAnsi="宋体" w:hint="eastAsia"/>
                <w:sz w:val="21"/>
                <w:szCs w:val="21"/>
                <w:lang w:eastAsia="zh-CN"/>
              </w:rPr>
              <w:t>、</w:t>
            </w:r>
            <w:r>
              <w:rPr>
                <w:rFonts w:ascii="宋体" w:hAnsi="宋体" w:hint="eastAsia"/>
                <w:sz w:val="21"/>
                <w:szCs w:val="21"/>
                <w:lang w:val="en-US" w:eastAsia="zh-CN"/>
              </w:rPr>
              <w:t>协会</w:t>
            </w:r>
            <w:r>
              <w:rPr>
                <w:rFonts w:ascii="宋体" w:eastAsia="宋体" w:hAnsi="宋体" w:hint="eastAsia"/>
                <w:sz w:val="21"/>
                <w:szCs w:val="21"/>
              </w:rPr>
              <w:t>颁发的</w:t>
            </w:r>
            <w:r>
              <w:rPr>
                <w:rFonts w:ascii="宋体" w:eastAsia="宋体" w:hAnsi="宋体" w:hint="eastAsia"/>
                <w:sz w:val="21"/>
                <w:szCs w:val="21"/>
                <w:lang w:val="en-US" w:eastAsia="zh-CN"/>
              </w:rPr>
              <w:t>培训上岗</w:t>
            </w:r>
            <w:r>
              <w:rPr>
                <w:rFonts w:ascii="宋体" w:eastAsia="宋体" w:hAnsi="宋体" w:hint="eastAsia"/>
                <w:sz w:val="21"/>
                <w:szCs w:val="21"/>
              </w:rPr>
              <w:t>证书</w:t>
            </w:r>
            <w:r>
              <w:rPr>
                <w:rFonts w:ascii="宋体" w:hAnsi="宋体" w:hint="eastAsia"/>
                <w:sz w:val="21"/>
                <w:szCs w:val="21"/>
                <w:lang w:eastAsia="zh-CN"/>
              </w:rPr>
              <w:t>（</w:t>
            </w:r>
            <w:r>
              <w:rPr>
                <w:rFonts w:ascii="宋体" w:hAnsi="宋体" w:hint="eastAsia"/>
                <w:sz w:val="21"/>
                <w:szCs w:val="21"/>
                <w:lang w:val="en-US" w:eastAsia="zh-CN"/>
              </w:rPr>
              <w:t>室内空气检测、环境检测相关类别）</w:t>
            </w:r>
            <w:r>
              <w:rPr>
                <w:rFonts w:ascii="宋体" w:eastAsia="宋体" w:hAnsi="宋体" w:hint="eastAsia"/>
                <w:sz w:val="21"/>
                <w:szCs w:val="21"/>
              </w:rPr>
              <w:t>的得</w:t>
            </w:r>
            <w:r>
              <w:rPr>
                <w:rFonts w:ascii="宋体" w:hAnsi="宋体" w:hint="eastAsia"/>
                <w:sz w:val="21"/>
                <w:szCs w:val="21"/>
                <w:lang w:val="en-US" w:eastAsia="zh-CN"/>
              </w:rPr>
              <w:t>30</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以上累计得分，最高得100分。</w:t>
            </w:r>
          </w:p>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（二）评审标准：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1.</w:t>
            </w:r>
            <w:r>
              <w:rPr>
                <w:rFonts w:ascii="宋体" w:eastAsia="宋体" w:hAnsi="宋体" w:hint="eastAsia"/>
                <w:sz w:val="21"/>
                <w:szCs w:val="21"/>
              </w:rPr>
              <w:t>要求提供项目负责人通过投标人缴纳的近三个月（含开标当月）的任意一个月的社保证明作为本单位员工的证明依据。若供应商成立不足一个月的，需提供成立情况说明函（格式自拟），无需提供相关人员社保，亦可得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2.</w:t>
            </w:r>
            <w:r>
              <w:rPr>
                <w:rFonts w:ascii="宋体" w:eastAsia="宋体" w:hAnsi="宋体" w:hint="eastAsia"/>
                <w:sz w:val="21"/>
                <w:szCs w:val="21"/>
              </w:rPr>
              <w:t>要求提供项目负责人相关证书作为得分依据。</w:t>
            </w:r>
          </w:p>
          <w:p>
            <w:pPr>
              <w:keepNext w:val="0"/>
              <w:keepLines w:val="0"/>
              <w:pageBreakBefore w:val="0"/>
              <w:kinsoku/>
              <w:overflowPunct/>
              <w:topLinePunct w:val="0"/>
              <w:autoSpaceDE/>
              <w:autoSpaceDN/>
              <w:bidi w:val="0"/>
              <w:spacing w:line="240" w:lineRule="auto"/>
              <w:rPr>
                <w:rFonts w:ascii="宋体" w:eastAsia="宋体" w:hAnsi="宋体" w:cs="宋体" w:hint="eastAsia"/>
                <w:sz w:val="21"/>
                <w:szCs w:val="21"/>
              </w:rPr>
            </w:pPr>
            <w:r>
              <w:rPr>
                <w:rFonts w:ascii="宋体" w:hAnsi="宋体" w:hint="eastAsia"/>
                <w:sz w:val="21"/>
                <w:szCs w:val="21"/>
                <w:lang w:val="en-US" w:eastAsia="zh-CN"/>
              </w:rPr>
              <w:t>3.</w:t>
            </w:r>
            <w:r>
              <w:rPr>
                <w:rFonts w:ascii="宋体" w:eastAsia="宋体" w:hAnsi="宋体" w:hint="eastAsia"/>
                <w:sz w:val="21"/>
                <w:szCs w:val="21"/>
              </w:rPr>
              <w:t>以上资料均要求提供扫描件，原件备查。评分中出现无证明资料或专家无法凭所提供资料判断是否得分的情况，一律作不得分处理。</w:t>
            </w:r>
          </w:p>
        </w:tc>
      </w:tr>
      <w:tr>
        <w:tblPrEx>
          <w:tblW w:w="9072" w:type="dxa"/>
          <w:jc w:val="center"/>
          <w:tblLayout w:type="fixed"/>
          <w:tblCellMar>
            <w:top w:w="20" w:type="dxa"/>
            <w:left w:w="108" w:type="dxa"/>
            <w:bottom w:w="20" w:type="dxa"/>
            <w:right w:w="108" w:type="dxa"/>
          </w:tblCellMar>
        </w:tblPrEx>
        <w:trPr>
          <w:trHeight w:val="969"/>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5</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highlight w:val="none"/>
              </w:rPr>
            </w:pPr>
            <w:r>
              <w:rPr>
                <w:rFonts w:ascii="宋体" w:eastAsia="宋体" w:hAnsi="宋体" w:cs="宋体" w:hint="eastAsia"/>
                <w:sz w:val="21"/>
                <w:szCs w:val="21"/>
              </w:rPr>
              <w:t>拟安排的项目主要团队成员（主要技术人员）情况（项目负责人除外）</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highlight w:val="none"/>
                <w:lang w:val="en-US" w:eastAsia="zh-CN"/>
              </w:rPr>
            </w:pPr>
            <w:r>
              <w:rPr>
                <w:rFonts w:ascii="宋体" w:hAnsi="宋体" w:cs="宋体" w:hint="eastAsia"/>
                <w:sz w:val="21"/>
                <w:szCs w:val="21"/>
                <w:lang w:val="en-US" w:eastAsia="zh-CN"/>
              </w:rPr>
              <w:t>10</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（一）评分内容：</w:t>
            </w:r>
          </w:p>
          <w:p>
            <w:pPr>
              <w:keepNext w:val="0"/>
              <w:keepLines w:val="0"/>
              <w:pageBreakBefore w:val="0"/>
              <w:kinsoku/>
              <w:overflowPunct/>
              <w:topLinePunct w:val="0"/>
              <w:autoSpaceDE/>
              <w:autoSpaceDN/>
              <w:bidi w:val="0"/>
              <w:spacing w:line="240" w:lineRule="auto"/>
              <w:rPr>
                <w:rFonts w:ascii="宋体" w:eastAsia="宋体" w:hAnsi="宋体"/>
                <w:color w:val="000000" w:themeColor="text1"/>
                <w:sz w:val="21"/>
                <w:szCs w:val="21"/>
                <w14:textFill>
                  <w14:solidFill>
                    <w14:schemeClr w14:val="tx1"/>
                  </w14:solidFill>
                </w14:textFill>
              </w:rPr>
            </w:pPr>
            <w:r>
              <w:rPr>
                <w:rFonts w:ascii="宋体" w:eastAsia="宋体" w:hAnsi="宋体" w:hint="eastAsia"/>
                <w:color w:val="000000" w:themeColor="text1"/>
                <w:sz w:val="21"/>
                <w:szCs w:val="21"/>
                <w14:textFill>
                  <w14:solidFill>
                    <w14:schemeClr w14:val="tx1"/>
                  </w14:solidFill>
                </w14:textFill>
              </w:rPr>
              <w:t>拟安排项目主要团队成员</w:t>
            </w:r>
            <w:r>
              <w:rPr>
                <w:rFonts w:ascii="宋体" w:hAnsi="宋体" w:hint="eastAsia"/>
                <w:color w:val="000000" w:themeColor="text1"/>
                <w:sz w:val="21"/>
                <w:szCs w:val="21"/>
                <w:lang w:val="en-US" w:eastAsia="zh-CN"/>
                <w14:textFill>
                  <w14:solidFill>
                    <w14:schemeClr w14:val="tx1"/>
                  </w14:solidFill>
                </w14:textFill>
              </w:rPr>
              <w:t>（除</w:t>
            </w:r>
            <w:r>
              <w:rPr>
                <w:rFonts w:ascii="宋体" w:eastAsia="宋体" w:hAnsi="宋体" w:cs="宋体" w:hint="eastAsia"/>
                <w:color w:val="000000" w:themeColor="text1"/>
                <w:sz w:val="21"/>
                <w:szCs w:val="21"/>
                <w14:textFill>
                  <w14:solidFill>
                    <w14:schemeClr w14:val="tx1"/>
                  </w14:solidFill>
                </w14:textFill>
              </w:rPr>
              <w:t>项目负责人</w:t>
            </w:r>
            <w:r>
              <w:rPr>
                <w:rFonts w:ascii="宋体" w:hAnsi="宋体" w:cs="宋体" w:hint="eastAsia"/>
                <w:color w:val="000000" w:themeColor="text1"/>
                <w:sz w:val="21"/>
                <w:szCs w:val="21"/>
                <w:lang w:eastAsia="zh-CN"/>
                <w14:textFill>
                  <w14:solidFill>
                    <w14:schemeClr w14:val="tx1"/>
                  </w14:solidFill>
                </w14:textFill>
              </w:rPr>
              <w:t>）</w:t>
            </w:r>
            <w:r>
              <w:rPr>
                <w:rFonts w:ascii="宋体" w:eastAsia="宋体" w:hAnsi="宋体" w:hint="eastAsia"/>
                <w:color w:val="000000" w:themeColor="text1"/>
                <w:sz w:val="21"/>
                <w:szCs w:val="21"/>
                <w14:textFill>
                  <w14:solidFill>
                    <w14:schemeClr w14:val="tx1"/>
                  </w14:solidFill>
                </w14:textFill>
              </w:rPr>
              <w:t>为投标单位员工，否则该人员情况不</w:t>
            </w:r>
            <w:r>
              <w:rPr>
                <w:rFonts w:ascii="宋体" w:hAnsi="宋体" w:hint="eastAsia"/>
                <w:color w:val="000000" w:themeColor="text1"/>
                <w:sz w:val="21"/>
                <w:szCs w:val="21"/>
                <w:lang w:val="en-US" w:eastAsia="zh-CN"/>
                <w14:textFill>
                  <w14:solidFill>
                    <w14:schemeClr w14:val="tx1"/>
                  </w14:solidFill>
                </w14:textFill>
              </w:rPr>
              <w:t>得</w:t>
            </w:r>
            <w:r>
              <w:rPr>
                <w:rFonts w:ascii="宋体" w:eastAsia="宋体" w:hAnsi="宋体" w:hint="eastAsia"/>
                <w:color w:val="000000" w:themeColor="text1"/>
                <w:sz w:val="21"/>
                <w:szCs w:val="21"/>
                <w14:textFill>
                  <w14:solidFill>
                    <w14:schemeClr w14:val="tx1"/>
                  </w14:solidFill>
                </w14:textFill>
              </w:rPr>
              <w:t>分。在此基础上：</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每</w:t>
            </w:r>
            <w:r>
              <w:rPr>
                <w:rFonts w:ascii="宋体" w:hAnsi="宋体" w:hint="eastAsia"/>
                <w:sz w:val="21"/>
                <w:szCs w:val="21"/>
                <w:lang w:val="en-US" w:eastAsia="zh-CN"/>
              </w:rPr>
              <w:t>提供</w:t>
            </w:r>
            <w:r>
              <w:rPr>
                <w:rFonts w:ascii="宋体" w:eastAsia="宋体" w:hAnsi="宋体" w:hint="eastAsia"/>
                <w:sz w:val="21"/>
                <w:szCs w:val="21"/>
              </w:rPr>
              <w:t>1人具有</w:t>
            </w:r>
            <w:r>
              <w:rPr>
                <w:rFonts w:ascii="宋体" w:hAnsi="宋体" w:hint="eastAsia"/>
                <w:sz w:val="21"/>
                <w:szCs w:val="21"/>
                <w:lang w:val="en-US" w:eastAsia="zh-CN"/>
              </w:rPr>
              <w:t>人社局或</w:t>
            </w:r>
            <w:r>
              <w:rPr>
                <w:rFonts w:ascii="宋体" w:eastAsia="宋体" w:hAnsi="宋体" w:hint="eastAsia"/>
                <w:sz w:val="21"/>
                <w:szCs w:val="21"/>
                <w:lang w:val="en-US" w:eastAsia="zh-CN"/>
              </w:rPr>
              <w:t>协会颁发的培训上岗证</w:t>
            </w:r>
            <w:r>
              <w:rPr>
                <w:rFonts w:ascii="宋体" w:hAnsi="宋体" w:hint="eastAsia"/>
                <w:sz w:val="21"/>
                <w:szCs w:val="21"/>
                <w:lang w:val="en-US" w:eastAsia="zh-CN"/>
              </w:rPr>
              <w:t>书</w:t>
            </w:r>
            <w:r>
              <w:rPr>
                <w:rFonts w:ascii="宋体" w:hAnsi="宋体" w:hint="eastAsia"/>
                <w:sz w:val="21"/>
                <w:szCs w:val="21"/>
                <w:lang w:eastAsia="zh-CN"/>
              </w:rPr>
              <w:t>（</w:t>
            </w:r>
            <w:r>
              <w:rPr>
                <w:rFonts w:ascii="宋体" w:hAnsi="宋体" w:hint="eastAsia"/>
                <w:sz w:val="21"/>
                <w:szCs w:val="21"/>
                <w:lang w:val="en-US" w:eastAsia="zh-CN"/>
              </w:rPr>
              <w:t>范围为室内空气检测、环境检测相关类别）</w:t>
            </w:r>
            <w:r>
              <w:rPr>
                <w:rFonts w:ascii="宋体" w:eastAsia="宋体" w:hAnsi="宋体" w:hint="eastAsia"/>
                <w:sz w:val="21"/>
                <w:szCs w:val="21"/>
                <w:lang w:val="en-US" w:eastAsia="zh-CN"/>
              </w:rPr>
              <w:t>得</w:t>
            </w:r>
            <w:r>
              <w:rPr>
                <w:rFonts w:ascii="宋体" w:hAnsi="宋体" w:hint="eastAsia"/>
                <w:sz w:val="21"/>
                <w:szCs w:val="21"/>
                <w:lang w:val="en-US" w:eastAsia="zh-CN"/>
              </w:rPr>
              <w:t>10</w:t>
            </w:r>
            <w:r>
              <w:rPr>
                <w:rFonts w:ascii="宋体" w:eastAsia="宋体" w:hAnsi="宋体" w:hint="eastAsia"/>
                <w:sz w:val="21"/>
                <w:szCs w:val="21"/>
              </w:rPr>
              <w:t>分，最高得100分。</w:t>
            </w:r>
          </w:p>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（二）评分依据：</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1.</w:t>
            </w:r>
            <w:r>
              <w:rPr>
                <w:rFonts w:ascii="宋体" w:eastAsia="宋体" w:hAnsi="宋体" w:hint="eastAsia"/>
                <w:sz w:val="21"/>
                <w:szCs w:val="21"/>
              </w:rPr>
              <w:t>要求提供项目主要团队成员通过投标人缴纳的近三个月（含开标当月）的任意一个月的社保证明作为本单位员工的证明依据。若供应商成立不足一个月的，需提供成立情况说明函（格式自拟），无需提供相关人员社保，亦可得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2.</w:t>
            </w:r>
            <w:r>
              <w:rPr>
                <w:rFonts w:ascii="宋体" w:eastAsia="宋体" w:hAnsi="宋体" w:hint="eastAsia"/>
                <w:sz w:val="21"/>
                <w:szCs w:val="21"/>
              </w:rPr>
              <w:t>要求提供项目主要团队成员相关证书作为得分依据。</w:t>
            </w:r>
          </w:p>
          <w:p>
            <w:pPr>
              <w:keepNext w:val="0"/>
              <w:keepLines w:val="0"/>
              <w:pageBreakBefore w:val="0"/>
              <w:kinsoku/>
              <w:overflowPunct/>
              <w:topLinePunct w:val="0"/>
              <w:autoSpaceDE/>
              <w:autoSpaceDN/>
              <w:bidi w:val="0"/>
              <w:spacing w:line="240" w:lineRule="auto"/>
              <w:rPr>
                <w:rFonts w:ascii="宋体" w:eastAsia="宋体" w:hAnsi="宋体" w:cs="宋体" w:hint="eastAsia"/>
                <w:color w:val="auto"/>
                <w:sz w:val="21"/>
                <w:szCs w:val="21"/>
                <w:highlight w:val="none"/>
                <w:lang w:val="en-US" w:eastAsia="zh-CN"/>
              </w:rPr>
            </w:pPr>
            <w:r>
              <w:rPr>
                <w:rFonts w:ascii="宋体" w:hAnsi="宋体" w:hint="eastAsia"/>
                <w:sz w:val="21"/>
                <w:szCs w:val="21"/>
                <w:lang w:val="en-US" w:eastAsia="zh-CN"/>
              </w:rPr>
              <w:t>3.</w:t>
            </w:r>
            <w:r>
              <w:rPr>
                <w:rFonts w:ascii="宋体" w:eastAsia="宋体" w:hAnsi="宋体" w:hint="eastAsia"/>
                <w:sz w:val="21"/>
                <w:szCs w:val="21"/>
              </w:rPr>
              <w:t>以上资料均要求提供扫描件，原件备查。评分中出现无证明资料或专家无法凭所提供资料判断是否得分的情况，一律作不得分处理。</w:t>
            </w:r>
          </w:p>
        </w:tc>
      </w:tr>
      <w:tr>
        <w:tblPrEx>
          <w:tblW w:w="9072" w:type="dxa"/>
          <w:jc w:val="center"/>
          <w:tblLayout w:type="fixed"/>
          <w:tblCellMar>
            <w:top w:w="20" w:type="dxa"/>
            <w:left w:w="108" w:type="dxa"/>
            <w:bottom w:w="20" w:type="dxa"/>
            <w:right w:w="108" w:type="dxa"/>
          </w:tblCellMar>
        </w:tblPrEx>
        <w:trPr>
          <w:jc w:val="center"/>
        </w:trPr>
        <w:tc>
          <w:tcPr>
            <w:tcW w:w="653" w:type="dxa"/>
            <w:vMerge w:val="restart"/>
            <w:tcBorders>
              <w:top w:val="single" w:sz="8" w:space="0" w:color="000000"/>
              <w:left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color w:val="0000FF"/>
                <w:sz w:val="21"/>
                <w:szCs w:val="21"/>
              </w:rPr>
            </w:pPr>
            <w:r>
              <w:rPr>
                <w:rFonts w:ascii="宋体" w:eastAsia="宋体" w:hAnsi="宋体" w:cs="宋体" w:hint="eastAsia"/>
                <w:b/>
                <w:bCs/>
                <w:color w:val="0000FF"/>
                <w:sz w:val="21"/>
                <w:szCs w:val="21"/>
              </w:rPr>
              <w:t>3</w:t>
            </w:r>
          </w:p>
        </w:tc>
        <w:tc>
          <w:tcPr>
            <w:tcW w:w="3513" w:type="dxa"/>
            <w:gridSpan w:val="3"/>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b/>
                <w:bCs/>
                <w:color w:val="0000FF"/>
                <w:sz w:val="21"/>
                <w:szCs w:val="21"/>
              </w:rPr>
            </w:pPr>
            <w:r>
              <w:rPr>
                <w:rFonts w:ascii="宋体" w:eastAsia="宋体" w:hAnsi="宋体" w:cs="宋体" w:hint="eastAsia"/>
                <w:b/>
                <w:bCs/>
                <w:color w:val="0000FF"/>
                <w:sz w:val="21"/>
                <w:szCs w:val="21"/>
              </w:rPr>
              <w:t>商务</w:t>
            </w:r>
          </w:p>
        </w:tc>
        <w:tc>
          <w:tcPr>
            <w:tcW w:w="4906" w:type="dxa"/>
            <w:tcBorders>
              <w:top w:val="single" w:sz="8" w:space="0" w:color="000000"/>
              <w:left w:val="single" w:sz="8" w:space="0" w:color="000000"/>
              <w:bottom w:val="single" w:sz="8" w:space="0" w:color="000000"/>
              <w:right w:val="single" w:sz="8" w:space="0" w:color="000000"/>
            </w:tcBorders>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default"/>
                <w:b/>
                <w:bCs/>
                <w:color w:val="0000FF"/>
                <w:sz w:val="21"/>
                <w:szCs w:val="21"/>
                <w:lang w:val="en-US" w:eastAsia="zh-CN"/>
              </w:rPr>
            </w:pPr>
            <w:r>
              <w:rPr>
                <w:rFonts w:ascii="宋体" w:hAnsi="宋体" w:cs="宋体" w:hint="eastAsia"/>
                <w:b/>
                <w:bCs/>
                <w:color w:val="0000FF"/>
                <w:sz w:val="21"/>
                <w:szCs w:val="21"/>
                <w:lang w:val="en-US" w:eastAsia="zh-CN"/>
              </w:rPr>
              <w:t>25</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shd w:val="clear" w:color="auto" w:fill="E6EFFA"/>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序号</w:t>
            </w:r>
          </w:p>
        </w:tc>
        <w:tc>
          <w:tcPr>
            <w:tcW w:w="1877"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评分因素</w:t>
            </w:r>
          </w:p>
        </w:tc>
        <w:tc>
          <w:tcPr>
            <w:tcW w:w="984"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权重(%)</w:t>
            </w:r>
          </w:p>
        </w:tc>
        <w:tc>
          <w:tcPr>
            <w:tcW w:w="4906" w:type="dxa"/>
            <w:tcBorders>
              <w:top w:val="outset" w:sz="6" w:space="0" w:color="000000"/>
              <w:left w:val="outset" w:sz="6" w:space="0" w:color="000000"/>
              <w:bottom w:val="outset" w:sz="6" w:space="0" w:color="000000"/>
              <w:right w:val="outset" w:sz="6" w:space="0" w:color="000000"/>
            </w:tcBorders>
            <w:shd w:val="clear" w:color="auto" w:fill="E6EFFA"/>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评分准则</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1</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cs="宋体" w:hint="eastAsia"/>
                <w:sz w:val="21"/>
                <w:szCs w:val="21"/>
              </w:rPr>
              <w:t>投标人通过相关资质情况</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1</w:t>
            </w:r>
            <w:r>
              <w:rPr>
                <w:rFonts w:ascii="宋体" w:hAnsi="宋体" w:cs="宋体" w:hint="eastAsia"/>
                <w:sz w:val="21"/>
                <w:szCs w:val="21"/>
                <w:lang w:val="en-US" w:eastAsia="zh-CN"/>
              </w:rPr>
              <w:t>0</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numPr>
                <w:ilvl w:val="255"/>
                <w:numId w:val="0"/>
              </w:numPr>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评分内容：</w:t>
            </w:r>
          </w:p>
          <w:p>
            <w:pPr>
              <w:keepNext w:val="0"/>
              <w:keepLines w:val="0"/>
              <w:pageBreakBefore w:val="0"/>
              <w:kinsoku/>
              <w:overflowPunct/>
              <w:topLinePunct w:val="0"/>
              <w:autoSpaceDE/>
              <w:autoSpaceDN/>
              <w:bidi w:val="0"/>
              <w:spacing w:line="240" w:lineRule="auto"/>
              <w:rPr>
                <w:rFonts w:ascii="宋体" w:eastAsia="宋体" w:hAnsi="宋体" w:hint="eastAsia"/>
                <w:sz w:val="21"/>
                <w:szCs w:val="21"/>
              </w:rPr>
            </w:pPr>
            <w:r>
              <w:rPr>
                <w:rFonts w:ascii="宋体" w:hAnsi="宋体" w:hint="eastAsia"/>
                <w:sz w:val="21"/>
                <w:szCs w:val="21"/>
                <w:lang w:val="en-US" w:eastAsia="zh-CN"/>
              </w:rPr>
              <w:t>1.</w:t>
            </w:r>
            <w:r>
              <w:rPr>
                <w:rFonts w:ascii="宋体" w:eastAsia="宋体" w:hAnsi="宋体" w:hint="eastAsia"/>
                <w:sz w:val="21"/>
                <w:szCs w:val="21"/>
              </w:rPr>
              <w:t>投标人具有质量管理体系认证证书，得</w:t>
            </w:r>
            <w:r>
              <w:rPr>
                <w:rFonts w:ascii="宋体" w:hAnsi="宋体" w:hint="eastAsia"/>
                <w:sz w:val="21"/>
                <w:szCs w:val="21"/>
                <w:lang w:val="en-US" w:eastAsia="zh-CN"/>
              </w:rPr>
              <w:t>34</w:t>
            </w:r>
            <w:r>
              <w:rPr>
                <w:rFonts w:ascii="宋体" w:eastAsia="宋体" w:hAnsi="宋体" w:hint="eastAsia"/>
                <w:sz w:val="21"/>
                <w:szCs w:val="21"/>
              </w:rPr>
              <w:t xml:space="preserve">分； </w:t>
            </w:r>
          </w:p>
          <w:p>
            <w:pPr>
              <w:keepNext w:val="0"/>
              <w:keepLines w:val="0"/>
              <w:pageBreakBefore w:val="0"/>
              <w:kinsoku/>
              <w:overflowPunct/>
              <w:topLinePunct w:val="0"/>
              <w:autoSpaceDE/>
              <w:autoSpaceDN/>
              <w:bidi w:val="0"/>
              <w:spacing w:line="240" w:lineRule="auto"/>
              <w:rPr>
                <w:rFonts w:ascii="宋体" w:eastAsia="宋体" w:hAnsi="宋体" w:hint="eastAsia"/>
                <w:sz w:val="21"/>
                <w:szCs w:val="21"/>
              </w:rPr>
            </w:pPr>
            <w:r>
              <w:rPr>
                <w:rFonts w:ascii="宋体" w:hAnsi="宋体" w:hint="eastAsia"/>
                <w:sz w:val="21"/>
                <w:szCs w:val="21"/>
                <w:lang w:val="en-US" w:eastAsia="zh-CN"/>
              </w:rPr>
              <w:t>2.</w:t>
            </w:r>
            <w:r>
              <w:rPr>
                <w:rFonts w:ascii="宋体" w:eastAsia="宋体" w:hAnsi="宋体" w:hint="eastAsia"/>
                <w:sz w:val="21"/>
                <w:szCs w:val="21"/>
              </w:rPr>
              <w:t>投标人具有</w:t>
            </w:r>
            <w:r>
              <w:rPr>
                <w:rFonts w:ascii="宋体" w:eastAsia="宋体" w:hAnsi="宋体" w:hint="eastAsia"/>
                <w:sz w:val="21"/>
                <w:szCs w:val="21"/>
                <w:lang w:val="en-US" w:eastAsia="zh-CN"/>
              </w:rPr>
              <w:t>环境</w:t>
            </w:r>
            <w:r>
              <w:rPr>
                <w:rFonts w:ascii="宋体" w:eastAsia="宋体" w:hAnsi="宋体" w:hint="eastAsia"/>
                <w:sz w:val="21"/>
                <w:szCs w:val="21"/>
              </w:rPr>
              <w:t>管理体系认证证书，得</w:t>
            </w:r>
            <w:r>
              <w:rPr>
                <w:rFonts w:ascii="宋体" w:hAnsi="宋体" w:hint="eastAsia"/>
                <w:sz w:val="21"/>
                <w:szCs w:val="21"/>
                <w:lang w:val="en-US" w:eastAsia="zh-CN"/>
              </w:rPr>
              <w:t>34</w:t>
            </w:r>
            <w:r>
              <w:rPr>
                <w:rFonts w:ascii="宋体" w:eastAsia="宋体" w:hAnsi="宋体" w:hint="eastAsia"/>
                <w:sz w:val="21"/>
                <w:szCs w:val="21"/>
              </w:rPr>
              <w:t xml:space="preserve">分； </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hAnsi="宋体" w:hint="eastAsia"/>
                <w:sz w:val="21"/>
                <w:szCs w:val="21"/>
                <w:lang w:val="en-US" w:eastAsia="zh-CN"/>
              </w:rPr>
              <w:t>3.</w:t>
            </w:r>
            <w:r>
              <w:rPr>
                <w:rFonts w:ascii="宋体" w:eastAsia="宋体" w:hAnsi="宋体" w:hint="eastAsia"/>
                <w:sz w:val="21"/>
                <w:szCs w:val="21"/>
              </w:rPr>
              <w:t xml:space="preserve"> 投标人具有职业健康安全管理体系认证证书，得</w:t>
            </w:r>
            <w:r>
              <w:rPr>
                <w:rFonts w:ascii="宋体" w:hAnsi="宋体" w:hint="eastAsia"/>
                <w:sz w:val="21"/>
                <w:szCs w:val="21"/>
                <w:lang w:val="en-US" w:eastAsia="zh-CN"/>
              </w:rPr>
              <w:t>34</w:t>
            </w:r>
            <w:r>
              <w:rPr>
                <w:rFonts w:ascii="宋体" w:eastAsia="宋体" w:hAnsi="宋体" w:hint="eastAsia"/>
                <w:sz w:val="21"/>
                <w:szCs w:val="21"/>
              </w:rPr>
              <w:t>分。</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以上累计最高得100分。</w:t>
            </w:r>
          </w:p>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（二）评分依据：</w:t>
            </w:r>
          </w:p>
          <w:p>
            <w:pPr>
              <w:keepNext w:val="0"/>
              <w:keepLines w:val="0"/>
              <w:pageBreakBefore w:val="0"/>
              <w:kinsoku/>
              <w:wordWrap w:val="0"/>
              <w:overflowPunct/>
              <w:topLinePunct w:val="0"/>
              <w:autoSpaceDE/>
              <w:autoSpaceDN/>
              <w:bidi w:val="0"/>
              <w:snapToGrid w:val="0"/>
              <w:spacing w:line="240" w:lineRule="auto"/>
              <w:rPr>
                <w:rFonts w:ascii="宋体" w:hAnsi="宋体" w:cs="宋体" w:hint="eastAsia"/>
                <w:sz w:val="21"/>
                <w:szCs w:val="21"/>
              </w:rPr>
            </w:pPr>
            <w:r>
              <w:rPr>
                <w:rFonts w:ascii="宋体" w:hAnsi="宋体" w:cs="宋体" w:hint="eastAsia"/>
                <w:sz w:val="21"/>
                <w:szCs w:val="21"/>
              </w:rPr>
              <w:t>1.投标人需提供有效期内的认证证书扫描件，以及同时提供相关证书在“全国认证认可信息公共服务平台”（网址：http://cx.cnca.cn）的查询截图，且证书状态显示有效，查询截图的证书编号须与所提供认证证书的证书编号一致。认证证书在公开渠道无法查询的，需提供颁发机构的证明材料，证明证书真实有效。</w:t>
            </w:r>
          </w:p>
          <w:p>
            <w:pPr>
              <w:keepNext w:val="0"/>
              <w:keepLines w:val="0"/>
              <w:pageBreakBefore w:val="0"/>
              <w:kinsoku/>
              <w:wordWrap w:val="0"/>
              <w:overflowPunct/>
              <w:topLinePunct w:val="0"/>
              <w:autoSpaceDE/>
              <w:autoSpaceDN/>
              <w:bidi w:val="0"/>
              <w:snapToGrid w:val="0"/>
              <w:spacing w:line="240" w:lineRule="auto"/>
              <w:rPr>
                <w:rFonts w:ascii="宋体" w:hAnsi="宋体" w:cs="宋体" w:hint="eastAsia"/>
                <w:sz w:val="21"/>
                <w:szCs w:val="21"/>
              </w:rPr>
            </w:pPr>
            <w:r>
              <w:rPr>
                <w:rFonts w:ascii="宋体" w:hAnsi="宋体" w:cs="宋体" w:hint="eastAsia"/>
                <w:sz w:val="21"/>
                <w:szCs w:val="21"/>
              </w:rPr>
              <w:t>2.</w:t>
            </w:r>
            <w:r>
              <w:rPr>
                <w:rFonts w:hint="eastAsia"/>
                <w:sz w:val="21"/>
                <w:szCs w:val="21"/>
              </w:rPr>
              <w:t>如供应商距本项目开标之日的注册成立时间不足</w:t>
            </w:r>
            <w:r>
              <w:rPr>
                <w:rFonts w:ascii="宋体" w:eastAsia="宋体" w:hAnsi="宋体" w:cs="宋体" w:hint="eastAsia"/>
                <w:sz w:val="21"/>
                <w:szCs w:val="21"/>
              </w:rPr>
              <w:t>3</w:t>
            </w:r>
            <w:r>
              <w:rPr>
                <w:rFonts w:hint="eastAsia"/>
                <w:sz w:val="21"/>
                <w:szCs w:val="21"/>
              </w:rPr>
              <w:t>个月，且未取得以上认证证书的，提供认证机构出具的关于“正在办理”或“暂无法办理”的书面证明材料（需包含评审因素涉及的认证证书，且加盖认证机构公章），可视为已获得相应的认证证书。</w:t>
            </w:r>
          </w:p>
          <w:p>
            <w:pPr>
              <w:keepNext w:val="0"/>
              <w:keepLines w:val="0"/>
              <w:pageBreakBefore w:val="0"/>
              <w:kinsoku/>
              <w:overflowPunct/>
              <w:topLinePunct w:val="0"/>
              <w:autoSpaceDE/>
              <w:autoSpaceDN/>
              <w:bidi w:val="0"/>
              <w:spacing w:line="240" w:lineRule="auto"/>
              <w:rPr>
                <w:rFonts w:ascii="宋体" w:eastAsia="宋体" w:hAnsi="宋体" w:cs="宋体" w:hint="eastAsia"/>
                <w:sz w:val="21"/>
                <w:szCs w:val="21"/>
              </w:rPr>
            </w:pPr>
            <w:r>
              <w:rPr>
                <w:rFonts w:ascii="宋体" w:hAnsi="宋体" w:cs="宋体" w:hint="eastAsia"/>
                <w:sz w:val="21"/>
                <w:szCs w:val="21"/>
              </w:rPr>
              <w:t>3.以上证明文件均提供扫描件，未提供证明文件或证明文件不清晰导致专家无法判断的不得分。</w:t>
            </w:r>
          </w:p>
        </w:tc>
      </w:tr>
      <w:tr>
        <w:tblPrEx>
          <w:tblW w:w="9072" w:type="dxa"/>
          <w:jc w:val="center"/>
          <w:tblLayout w:type="fixed"/>
          <w:tblCellMar>
            <w:top w:w="20" w:type="dxa"/>
            <w:left w:w="108" w:type="dxa"/>
            <w:bottom w:w="20" w:type="dxa"/>
            <w:right w:w="108" w:type="dxa"/>
          </w:tblCellMar>
        </w:tblPrEx>
        <w:trPr>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rPr>
            </w:pPr>
            <w:r>
              <w:rPr>
                <w:rFonts w:ascii="宋体" w:eastAsia="宋体" w:hAnsi="宋体" w:cs="宋体" w:hint="eastAsia"/>
                <w:sz w:val="21"/>
                <w:szCs w:val="21"/>
              </w:rPr>
              <w:t>2</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hint="eastAsia"/>
                <w:snapToGrid w:val="0"/>
                <w:kern w:val="0"/>
                <w:sz w:val="21"/>
                <w:szCs w:val="21"/>
              </w:rPr>
              <w:t>投标人同类项目业绩情况</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overflowPunct/>
              <w:topLinePunct w:val="0"/>
              <w:autoSpaceDE/>
              <w:autoSpaceDN/>
              <w:bidi w:val="0"/>
              <w:spacing w:line="240" w:lineRule="auto"/>
              <w:jc w:val="center"/>
              <w:rPr>
                <w:rFonts w:ascii="宋体" w:eastAsia="宋体" w:hAnsi="宋体" w:cs="宋体" w:hint="eastAsia"/>
                <w:sz w:val="21"/>
                <w:szCs w:val="21"/>
                <w:lang w:eastAsia="zh-CN"/>
              </w:rPr>
            </w:pPr>
            <w:r>
              <w:rPr>
                <w:rFonts w:ascii="宋体" w:hAnsi="宋体" w:cs="宋体" w:hint="eastAsia"/>
                <w:sz w:val="21"/>
                <w:szCs w:val="21"/>
                <w:lang w:val="en-US" w:eastAsia="zh-CN"/>
              </w:rPr>
              <w:t>10</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（一）评分内容：</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投标人自202</w:t>
            </w:r>
            <w:r>
              <w:rPr>
                <w:rFonts w:ascii="宋体" w:eastAsia="宋体" w:hAnsi="宋体" w:hint="eastAsia"/>
                <w:sz w:val="21"/>
                <w:szCs w:val="21"/>
                <w:lang w:val="en-US" w:eastAsia="zh-CN"/>
              </w:rPr>
              <w:t>1</w:t>
            </w:r>
            <w:r>
              <w:rPr>
                <w:rFonts w:ascii="宋体" w:eastAsia="宋体" w:hAnsi="宋体" w:hint="eastAsia"/>
                <w:sz w:val="21"/>
                <w:szCs w:val="21"/>
              </w:rPr>
              <w:t>年1月1日至本项目投标之日（以合同签订时间为准），承担过同类</w:t>
            </w:r>
            <w:r>
              <w:rPr>
                <w:rFonts w:ascii="宋体" w:hAnsi="宋体" w:hint="eastAsia"/>
                <w:sz w:val="21"/>
                <w:szCs w:val="21"/>
                <w:lang w:val="en-US" w:eastAsia="zh-CN"/>
              </w:rPr>
              <w:t>空气检测</w:t>
            </w:r>
            <w:r>
              <w:rPr>
                <w:rFonts w:ascii="宋体" w:eastAsia="宋体" w:hAnsi="宋体" w:hint="eastAsia"/>
                <w:sz w:val="21"/>
                <w:szCs w:val="21"/>
              </w:rPr>
              <w:t>项目服务，每提供1个项目得</w:t>
            </w:r>
            <w:r>
              <w:rPr>
                <w:rFonts w:ascii="宋体" w:eastAsia="宋体" w:hAnsi="宋体" w:hint="eastAsia"/>
                <w:sz w:val="21"/>
                <w:szCs w:val="21"/>
                <w:lang w:val="en-US" w:eastAsia="zh-CN"/>
              </w:rPr>
              <w:t>2</w:t>
            </w:r>
            <w:r>
              <w:rPr>
                <w:rFonts w:ascii="宋体" w:hAnsi="宋体" w:hint="eastAsia"/>
                <w:sz w:val="21"/>
                <w:szCs w:val="21"/>
                <w:lang w:val="en-US" w:eastAsia="zh-CN"/>
              </w:rPr>
              <w:t>0</w:t>
            </w:r>
            <w:r>
              <w:rPr>
                <w:rFonts w:ascii="宋体" w:eastAsia="宋体" w:hAnsi="宋体" w:hint="eastAsia"/>
                <w:sz w:val="21"/>
                <w:szCs w:val="21"/>
              </w:rPr>
              <w:t>分，最高得100分。</w:t>
            </w:r>
          </w:p>
          <w:p>
            <w:pPr>
              <w:keepNext w:val="0"/>
              <w:keepLines w:val="0"/>
              <w:pageBreakBefore w:val="0"/>
              <w:kinsoku/>
              <w:overflowPunct/>
              <w:topLinePunct w:val="0"/>
              <w:autoSpaceDE/>
              <w:autoSpaceDN/>
              <w:bidi w:val="0"/>
              <w:spacing w:line="240" w:lineRule="auto"/>
              <w:rPr>
                <w:rFonts w:ascii="宋体" w:eastAsia="宋体" w:hAnsi="宋体" w:cs="宋体" w:hint="eastAsia"/>
                <w:b/>
                <w:kern w:val="0"/>
                <w:sz w:val="21"/>
                <w:szCs w:val="21"/>
              </w:rPr>
            </w:pPr>
            <w:r>
              <w:rPr>
                <w:rFonts w:ascii="宋体" w:eastAsia="宋体" w:hAnsi="宋体" w:cs="宋体" w:hint="eastAsia"/>
                <w:b/>
                <w:kern w:val="0"/>
                <w:sz w:val="21"/>
                <w:szCs w:val="21"/>
              </w:rPr>
              <w:t>（二）评分依据：</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1. 提供合同关键页（关键信息包括但不仅限于合同的项目名称、服务内容、合同签订日期、甲乙双方签字盖章页）且提供的材料各项信息不得有任何遮挡；</w:t>
            </w:r>
          </w:p>
          <w:p>
            <w:pPr>
              <w:keepNext w:val="0"/>
              <w:keepLines w:val="0"/>
              <w:pageBreakBefore w:val="0"/>
              <w:kinsoku/>
              <w:overflowPunct/>
              <w:topLinePunct w:val="0"/>
              <w:autoSpaceDE/>
              <w:autoSpaceDN/>
              <w:bidi w:val="0"/>
              <w:spacing w:line="240" w:lineRule="auto"/>
              <w:rPr>
                <w:rFonts w:ascii="宋体" w:eastAsia="宋体" w:hAnsi="宋体"/>
                <w:sz w:val="21"/>
                <w:szCs w:val="21"/>
              </w:rPr>
            </w:pPr>
            <w:r>
              <w:rPr>
                <w:rFonts w:ascii="宋体" w:eastAsia="宋体" w:hAnsi="宋体" w:hint="eastAsia"/>
                <w:sz w:val="21"/>
                <w:szCs w:val="21"/>
              </w:rPr>
              <w:t>2. 通过合同关键信息无法判断是否得分的，还需提供能证明得分的其它证明资料，如项目报告或合同甲方出具的证明文件；</w:t>
            </w:r>
          </w:p>
          <w:p>
            <w:pPr>
              <w:keepNext w:val="0"/>
              <w:keepLines w:val="0"/>
              <w:pageBreakBefore w:val="0"/>
              <w:kinsoku/>
              <w:overflowPunct/>
              <w:topLinePunct w:val="0"/>
              <w:autoSpaceDE/>
              <w:autoSpaceDN/>
              <w:bidi w:val="0"/>
              <w:spacing w:line="240" w:lineRule="auto"/>
              <w:rPr>
                <w:rFonts w:ascii="宋体" w:eastAsia="宋体" w:hAnsi="宋体" w:cs="宋体" w:hint="eastAsia"/>
                <w:kern w:val="0"/>
                <w:sz w:val="21"/>
                <w:szCs w:val="21"/>
              </w:rPr>
            </w:pPr>
            <w:r>
              <w:rPr>
                <w:rFonts w:ascii="宋体" w:eastAsia="宋体" w:hAnsi="宋体" w:hint="eastAsia"/>
                <w:sz w:val="21"/>
                <w:szCs w:val="21"/>
              </w:rPr>
              <w:t>3. 提供以上证明文件扫描件，如涉及网站截图或照片等证明材料,需提供清晰图片。未按要求提供有效证明材料或提供不清晰导致评委无法识别的不计得分。</w:t>
            </w:r>
          </w:p>
        </w:tc>
      </w:tr>
      <w:tr>
        <w:tblPrEx>
          <w:tblW w:w="9072" w:type="dxa"/>
          <w:jc w:val="center"/>
          <w:tblLayout w:type="fixed"/>
          <w:tblCellMar>
            <w:top w:w="20" w:type="dxa"/>
            <w:left w:w="108" w:type="dxa"/>
            <w:bottom w:w="20" w:type="dxa"/>
            <w:right w:w="108" w:type="dxa"/>
          </w:tblCellMar>
        </w:tblPrEx>
        <w:trPr>
          <w:trHeight w:val="450"/>
          <w:jc w:val="center"/>
        </w:trPr>
        <w:tc>
          <w:tcPr>
            <w:tcW w:w="653" w:type="dxa"/>
            <w:vMerge/>
            <w:tcBorders>
              <w:left w:val="single" w:sz="8" w:space="0" w:color="000000"/>
              <w:right w:val="single" w:sz="8" w:space="0" w:color="000000"/>
            </w:tcBorders>
            <w:vAlign w:val="center"/>
          </w:tcPr>
          <w:p>
            <w:pPr>
              <w:keepNext w:val="0"/>
              <w:keepLines w:val="0"/>
              <w:pageBreakBefore w:val="0"/>
              <w:kinsoku/>
              <w:overflowPunct/>
              <w:topLinePunct w:val="0"/>
              <w:autoSpaceDE/>
              <w:autoSpaceDN/>
              <w:bidi w:val="0"/>
              <w:snapToGrid/>
              <w:spacing w:line="240" w:lineRule="auto"/>
              <w:textAlignment w:val="auto"/>
              <w:rPr>
                <w:rFonts w:ascii="宋体" w:eastAsia="宋体" w:hAnsi="宋体" w:cs="宋体" w:hint="eastAsia"/>
                <w:b/>
                <w:bCs/>
                <w:color w:val="0000FF"/>
                <w:sz w:val="21"/>
                <w:szCs w:val="21"/>
              </w:rPr>
            </w:pPr>
          </w:p>
        </w:tc>
        <w:tc>
          <w:tcPr>
            <w:tcW w:w="652"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napToGrid/>
              <w:spacing w:line="240" w:lineRule="auto"/>
              <w:jc w:val="center"/>
              <w:textAlignment w:val="auto"/>
              <w:rPr>
                <w:rFonts w:ascii="宋体" w:eastAsia="宋体" w:hAnsi="宋体" w:cs="宋体" w:hint="eastAsia"/>
                <w:sz w:val="21"/>
                <w:szCs w:val="21"/>
                <w:lang w:val="en-US" w:eastAsia="zh-CN"/>
              </w:rPr>
            </w:pPr>
            <w:r>
              <w:rPr>
                <w:rFonts w:ascii="宋体" w:hAnsi="宋体" w:cs="宋体" w:hint="eastAsia"/>
                <w:sz w:val="21"/>
                <w:szCs w:val="21"/>
                <w:lang w:val="en-US" w:eastAsia="zh-CN"/>
              </w:rPr>
              <w:t>3</w:t>
            </w:r>
          </w:p>
        </w:tc>
        <w:tc>
          <w:tcPr>
            <w:tcW w:w="1877"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pacing w:line="240" w:lineRule="auto"/>
              <w:jc w:val="center"/>
              <w:rPr>
                <w:rFonts w:ascii="宋体" w:eastAsia="宋体" w:hAnsi="宋体" w:cs="宋体" w:hint="eastAsia"/>
                <w:sz w:val="21"/>
                <w:szCs w:val="21"/>
              </w:rPr>
            </w:pPr>
            <w:r>
              <w:rPr>
                <w:rFonts w:ascii="宋体" w:eastAsia="宋体" w:hAnsi="宋体" w:cs="宋体" w:hint="eastAsia"/>
                <w:sz w:val="21"/>
                <w:szCs w:val="21"/>
              </w:rPr>
              <w:t>诚信评审</w:t>
            </w:r>
          </w:p>
        </w:tc>
        <w:tc>
          <w:tcPr>
            <w:tcW w:w="984" w:type="dxa"/>
            <w:tcBorders>
              <w:top w:val="single" w:sz="8" w:space="0" w:color="000000"/>
              <w:left w:val="single" w:sz="8" w:space="0" w:color="000000"/>
              <w:bottom w:val="single" w:sz="8" w:space="0" w:color="000000"/>
              <w:right w:val="single" w:sz="8" w:space="0" w:color="000000"/>
            </w:tcBorders>
            <w:vAlign w:val="center"/>
          </w:tcPr>
          <w:p>
            <w:pPr>
              <w:keepNext w:val="0"/>
              <w:keepLines w:val="0"/>
              <w:pageBreakBefore w:val="0"/>
              <w:kinsoku/>
              <w:wordWrap w:val="0"/>
              <w:overflowPunct/>
              <w:topLinePunct w:val="0"/>
              <w:autoSpaceDE/>
              <w:autoSpaceDN/>
              <w:bidi w:val="0"/>
              <w:spacing w:line="240" w:lineRule="auto"/>
              <w:jc w:val="center"/>
              <w:rPr>
                <w:rFonts w:ascii="宋体" w:eastAsia="宋体" w:hAnsi="宋体" w:cs="宋体" w:hint="eastAsia"/>
                <w:kern w:val="0"/>
                <w:sz w:val="21"/>
                <w:szCs w:val="21"/>
                <w:lang w:val="en-US" w:eastAsia="zh-CN"/>
              </w:rPr>
            </w:pPr>
            <w:r>
              <w:rPr>
                <w:rFonts w:ascii="宋体" w:eastAsia="宋体" w:hAnsi="宋体" w:cs="宋体" w:hint="eastAsia"/>
                <w:sz w:val="21"/>
                <w:szCs w:val="21"/>
                <w:lang w:val="en-US" w:eastAsia="zh-CN"/>
              </w:rPr>
              <w:t>5</w:t>
            </w:r>
          </w:p>
        </w:tc>
        <w:tc>
          <w:tcPr>
            <w:tcW w:w="4906" w:type="dxa"/>
            <w:tcBorders>
              <w:top w:val="single" w:sz="8" w:space="0" w:color="000000"/>
              <w:left w:val="single" w:sz="8" w:space="0" w:color="000000"/>
              <w:bottom w:val="single" w:sz="8" w:space="0" w:color="000000"/>
              <w:right w:val="single" w:sz="8" w:space="0" w:color="000000"/>
            </w:tcBorders>
            <w:vAlign w:val="top"/>
          </w:tcPr>
          <w:p>
            <w:pPr>
              <w:keepNext w:val="0"/>
              <w:keepLines w:val="0"/>
              <w:pageBreakBefore w:val="0"/>
              <w:widowControl/>
              <w:kinsoku/>
              <w:overflowPunct/>
              <w:topLinePunct w:val="0"/>
              <w:autoSpaceDE/>
              <w:autoSpaceDN/>
              <w:bidi w:val="0"/>
              <w:spacing w:line="240" w:lineRule="auto"/>
              <w:jc w:val="left"/>
              <w:textAlignment w:val="center"/>
              <w:rPr>
                <w:rFonts w:ascii="宋体" w:eastAsia="宋体" w:hAnsi="宋体" w:cs="宋体" w:hint="eastAsia"/>
                <w:sz w:val="21"/>
                <w:szCs w:val="21"/>
              </w:rPr>
            </w:pPr>
            <w:r>
              <w:rPr>
                <w:rFonts w:ascii="宋体" w:eastAsia="宋体" w:hAnsi="宋体" w:cs="宋体" w:hint="eastAsia"/>
                <w:sz w:val="21"/>
                <w:szCs w:val="21"/>
              </w:rPr>
              <w:t>评审内容：投标人存在《深圳市财政局政府采购供应商信用信息管理办法》(深财规(2023]3号)列明的一般行政处罚信息、一般违法失信行为记录信息的，本项不得分，不存在上述情形的本项得</w:t>
            </w:r>
            <w:r>
              <w:rPr>
                <w:rFonts w:ascii="宋体" w:eastAsia="宋体" w:hAnsi="宋体" w:cs="宋体" w:hint="eastAsia"/>
                <w:sz w:val="21"/>
                <w:szCs w:val="21"/>
                <w:lang w:val="en-US" w:eastAsia="zh-CN"/>
              </w:rPr>
              <w:t>100</w:t>
            </w:r>
            <w:r>
              <w:rPr>
                <w:rFonts w:ascii="宋体" w:eastAsia="宋体" w:hAnsi="宋体" w:cs="宋体" w:hint="eastAsia"/>
                <w:sz w:val="21"/>
                <w:szCs w:val="21"/>
              </w:rPr>
              <w:t>分。投标人无需提供任何证明材料，评标过程中由工作人员向评</w:t>
            </w:r>
            <w:r>
              <w:rPr>
                <w:rFonts w:ascii="宋体" w:eastAsia="宋体" w:hAnsi="宋体" w:cs="宋体" w:hint="eastAsia"/>
                <w:sz w:val="21"/>
                <w:szCs w:val="21"/>
                <w:lang w:val="en-US" w:eastAsia="zh-CN"/>
              </w:rPr>
              <w:t>审</w:t>
            </w:r>
            <w:r>
              <w:rPr>
                <w:rFonts w:ascii="宋体" w:eastAsia="宋体" w:hAnsi="宋体" w:cs="宋体" w:hint="eastAsia"/>
                <w:sz w:val="21"/>
                <w:szCs w:val="21"/>
              </w:rPr>
              <w:t>委员会提供有关供应商诚信查询结果。</w:t>
            </w:r>
          </w:p>
          <w:p>
            <w:pPr>
              <w:keepNext w:val="0"/>
              <w:keepLines w:val="0"/>
              <w:pageBreakBefore w:val="0"/>
              <w:widowControl/>
              <w:kinsoku/>
              <w:overflowPunct/>
              <w:topLinePunct w:val="0"/>
              <w:autoSpaceDE/>
              <w:autoSpaceDN/>
              <w:bidi w:val="0"/>
              <w:spacing w:line="240" w:lineRule="auto"/>
              <w:jc w:val="left"/>
              <w:textAlignment w:val="center"/>
              <w:rPr>
                <w:rFonts w:ascii="宋体" w:eastAsia="宋体" w:hAnsi="宋体" w:cs="宋体" w:hint="eastAsia"/>
                <w:color w:val="auto"/>
                <w:kern w:val="0"/>
                <w:sz w:val="21"/>
                <w:szCs w:val="21"/>
              </w:rPr>
            </w:pPr>
            <w:r>
              <w:rPr>
                <w:rFonts w:ascii="宋体" w:eastAsia="宋体" w:hAnsi="宋体" w:cs="宋体" w:hint="eastAsia"/>
                <w:sz w:val="21"/>
                <w:szCs w:val="21"/>
              </w:rPr>
              <w:t>查询渠道:通过“信用中国”(www.creditchina</w:t>
            </w:r>
            <w:r>
              <w:rPr>
                <w:rFonts w:ascii="宋体" w:eastAsia="宋体" w:hAnsi="宋体" w:cs="宋体" w:hint="eastAsia"/>
                <w:sz w:val="21"/>
                <w:szCs w:val="21"/>
                <w:lang w:val="en-US" w:eastAsia="zh-CN"/>
              </w:rPr>
              <w:t>.</w:t>
            </w:r>
            <w:r>
              <w:rPr>
                <w:rFonts w:ascii="宋体" w:eastAsia="宋体" w:hAnsi="宋体" w:cs="宋体" w:hint="eastAsia"/>
                <w:sz w:val="21"/>
                <w:szCs w:val="21"/>
              </w:rPr>
              <w:t>gov.cn，下载信用信息报告)、“中国政府采购网”(www.ccgp.gov.cn)以及“深圳市政府采购监管网”(http//zfcgszgovcn)查询供应商信用信息，信用信息以开标当日的查询结果为准。</w:t>
            </w:r>
          </w:p>
        </w:tc>
      </w:tr>
    </w:tbl>
    <w:p>
      <w:pPr>
        <w:jc w:val="center"/>
        <w:rPr>
          <w:rFonts w:ascii="黑体" w:eastAsia="黑体" w:hAnsi="黑体"/>
          <w:sz w:val="40"/>
          <w:szCs w:val="40"/>
        </w:rPr>
      </w:pPr>
      <w:r>
        <w:rPr>
          <w:rFonts w:ascii="黑体" w:eastAsia="黑体" w:hAnsi="黑体" w:hint="eastAsia"/>
          <w:sz w:val="40"/>
          <w:szCs w:val="40"/>
        </w:rPr>
        <w:br w:type="page"/>
      </w:r>
      <w:bookmarkStart w:id="25" w:name="_Toc106150139"/>
      <w:bookmarkStart w:id="26" w:name="_Toc11180"/>
      <w:r>
        <w:rPr>
          <w:rFonts w:ascii="黑体" w:eastAsia="黑体" w:hAnsi="黑体" w:hint="eastAsia"/>
          <w:sz w:val="40"/>
          <w:szCs w:val="40"/>
        </w:rPr>
        <w:t>投标书目录</w:t>
      </w:r>
      <w:bookmarkEnd w:id="25"/>
      <w:bookmarkEnd w:id="26"/>
    </w:p>
    <w:p>
      <w:pPr>
        <w:spacing w:line="400" w:lineRule="exact"/>
        <w:rPr>
          <w:rFonts w:ascii="黑体" w:eastAsia="黑体" w:hAnsi="黑体" w:cs="黑体"/>
        </w:rPr>
      </w:pPr>
      <w:r>
        <w:rPr>
          <w:rFonts w:ascii="黑体" w:eastAsia="黑体" w:hAnsi="黑体" w:cs="黑体" w:hint="eastAsia"/>
        </w:rPr>
        <w:t>信息公开部分</w:t>
      </w:r>
    </w:p>
    <w:p>
      <w:pPr>
        <w:spacing w:line="400" w:lineRule="exact"/>
        <w:ind w:firstLine="420" w:firstLineChars="200"/>
        <w:rPr>
          <w:b/>
          <w:bCs/>
          <w:sz w:val="21"/>
          <w:szCs w:val="21"/>
        </w:rPr>
      </w:pPr>
      <w:r>
        <w:rPr>
          <w:rFonts w:hint="eastAsia"/>
        </w:rPr>
        <w:t>一、</w:t>
      </w:r>
      <w:r>
        <w:rPr>
          <w:rFonts w:hint="eastAsia"/>
          <w:sz w:val="21"/>
          <w:szCs w:val="21"/>
        </w:rPr>
        <w:t>投标函</w:t>
      </w:r>
    </w:p>
    <w:p>
      <w:pPr>
        <w:spacing w:line="400" w:lineRule="exact"/>
        <w:ind w:firstLine="420" w:firstLineChars="200"/>
        <w:rPr>
          <w:sz w:val="21"/>
          <w:szCs w:val="21"/>
        </w:rPr>
      </w:pPr>
      <w:r>
        <w:rPr>
          <w:rFonts w:hint="eastAsia"/>
          <w:sz w:val="21"/>
          <w:szCs w:val="21"/>
        </w:rPr>
        <w:t>二、政府采购投标及履约承诺函</w:t>
      </w:r>
    </w:p>
    <w:p>
      <w:pPr>
        <w:spacing w:line="400" w:lineRule="exact"/>
        <w:ind w:firstLine="420" w:firstLineChars="200"/>
        <w:rPr>
          <w:rFonts w:hint="eastAsia"/>
          <w:sz w:val="21"/>
          <w:szCs w:val="21"/>
        </w:rPr>
      </w:pPr>
      <w:r>
        <w:rPr>
          <w:rFonts w:hint="eastAsia"/>
          <w:sz w:val="21"/>
          <w:szCs w:val="21"/>
        </w:rPr>
        <w:t>三、法人或者其他组织的营业执照等证明文件</w:t>
      </w:r>
    </w:p>
    <w:p>
      <w:pPr>
        <w:spacing w:line="400" w:lineRule="exact"/>
        <w:ind w:firstLine="420" w:firstLineChars="200"/>
        <w:rPr>
          <w:rFonts w:eastAsia="宋体" w:hint="default"/>
          <w:sz w:val="21"/>
          <w:szCs w:val="21"/>
          <w:lang w:val="en-US" w:eastAsia="zh-CN"/>
        </w:rPr>
      </w:pPr>
      <w:r>
        <w:rPr>
          <w:rFonts w:hint="eastAsia"/>
          <w:sz w:val="21"/>
          <w:szCs w:val="21"/>
          <w:lang w:val="en-US" w:eastAsia="zh-CN"/>
        </w:rPr>
        <w:t>四、</w:t>
      </w:r>
      <w:r>
        <w:rPr>
          <w:rFonts w:hint="eastAsia"/>
          <w:sz w:val="21"/>
          <w:szCs w:val="21"/>
        </w:rPr>
        <w:t>开标一览表</w:t>
      </w:r>
    </w:p>
    <w:p>
      <w:pPr>
        <w:spacing w:line="400" w:lineRule="exact"/>
        <w:ind w:firstLine="420" w:firstLineChars="200"/>
        <w:rPr>
          <w:sz w:val="21"/>
          <w:szCs w:val="21"/>
        </w:rPr>
      </w:pPr>
      <w:r>
        <w:rPr>
          <w:rFonts w:hint="eastAsia"/>
          <w:sz w:val="21"/>
          <w:szCs w:val="21"/>
          <w:lang w:val="en-US" w:eastAsia="zh-CN"/>
        </w:rPr>
        <w:t>五</w:t>
      </w:r>
      <w:r>
        <w:rPr>
          <w:rFonts w:hint="eastAsia"/>
          <w:sz w:val="21"/>
          <w:szCs w:val="21"/>
        </w:rPr>
        <w:t>、</w:t>
      </w:r>
      <w:r>
        <w:rPr>
          <w:rFonts w:ascii="Times New Roman" w:eastAsia="宋体" w:hAnsi="Times New Roman" w:cs="Times New Roman" w:hint="eastAsia"/>
          <w:sz w:val="21"/>
          <w:szCs w:val="21"/>
        </w:rPr>
        <w:t>投标分项报价表</w:t>
      </w:r>
    </w:p>
    <w:p>
      <w:pPr>
        <w:spacing w:line="400" w:lineRule="exact"/>
        <w:ind w:firstLine="420" w:firstLineChars="200"/>
        <w:rPr>
          <w:rFonts w:ascii="Times New Roman" w:eastAsia="宋体" w:hAnsi="Times New Roman" w:cs="Times New Roman" w:hint="eastAsia"/>
          <w:sz w:val="21"/>
          <w:szCs w:val="21"/>
        </w:rPr>
      </w:pPr>
      <w:r>
        <w:rPr>
          <w:rFonts w:cs="Times New Roman" w:hint="eastAsia"/>
          <w:sz w:val="21"/>
          <w:szCs w:val="21"/>
          <w:lang w:val="en-US" w:eastAsia="zh-CN"/>
        </w:rPr>
        <w:t>六</w:t>
      </w:r>
      <w:r>
        <w:rPr>
          <w:rFonts w:ascii="Times New Roman" w:eastAsia="宋体" w:hAnsi="Times New Roman" w:cs="Times New Roman" w:hint="eastAsia"/>
          <w:sz w:val="21"/>
          <w:szCs w:val="21"/>
        </w:rPr>
        <w:t>、投标人通过相关认证情况（格式自拟）</w:t>
      </w:r>
    </w:p>
    <w:p>
      <w:pPr>
        <w:spacing w:line="400" w:lineRule="exact"/>
        <w:ind w:firstLine="420" w:firstLineChars="200"/>
        <w:rPr>
          <w:rFonts w:ascii="Times New Roman" w:eastAsia="宋体" w:hAnsi="Times New Roman" w:cs="Times New Roman" w:hint="eastAsia"/>
          <w:sz w:val="21"/>
          <w:szCs w:val="21"/>
        </w:rPr>
      </w:pPr>
      <w:r>
        <w:rPr>
          <w:rFonts w:cs="Times New Roman" w:hint="eastAsia"/>
          <w:sz w:val="21"/>
          <w:szCs w:val="21"/>
          <w:lang w:val="en-US" w:eastAsia="zh-CN"/>
        </w:rPr>
        <w:t>七</w:t>
      </w:r>
      <w:r>
        <w:rPr>
          <w:rFonts w:ascii="Times New Roman" w:eastAsia="宋体" w:hAnsi="Times New Roman" w:cs="Times New Roman" w:hint="eastAsia"/>
          <w:sz w:val="21"/>
          <w:szCs w:val="21"/>
        </w:rPr>
        <w:t>、投标人同类项目业绩情况（格式自拟）</w:t>
      </w:r>
    </w:p>
    <w:p>
      <w:pPr>
        <w:spacing w:line="400" w:lineRule="exact"/>
        <w:ind w:firstLine="420" w:firstLineChars="200"/>
        <w:rPr>
          <w:rFonts w:ascii="Times New Roman" w:eastAsia="宋体" w:hAnsi="Times New Roman" w:cs="Times New Roman" w:hint="eastAsia"/>
          <w:sz w:val="21"/>
          <w:szCs w:val="21"/>
          <w:lang w:val="en-US" w:eastAsia="zh-CN"/>
        </w:rPr>
      </w:pPr>
      <w:r>
        <w:rPr>
          <w:rFonts w:cs="Times New Roman" w:hint="eastAsia"/>
          <w:sz w:val="21"/>
          <w:szCs w:val="21"/>
          <w:lang w:val="en-US" w:eastAsia="zh-CN"/>
        </w:rPr>
        <w:t>八</w:t>
      </w:r>
      <w:r>
        <w:rPr>
          <w:rFonts w:ascii="Times New Roman" w:eastAsia="宋体" w:hAnsi="Times New Roman" w:cs="Times New Roman" w:hint="eastAsia"/>
          <w:sz w:val="21"/>
          <w:szCs w:val="21"/>
        </w:rPr>
        <w:t>、投标人相关荣誉情况</w:t>
      </w:r>
      <w:r>
        <w:rPr>
          <w:rFonts w:hint="eastAsia"/>
          <w:sz w:val="21"/>
          <w:szCs w:val="21"/>
          <w:lang w:eastAsia="zh-CN"/>
        </w:rPr>
        <w:t>（</w:t>
      </w:r>
      <w:r>
        <w:rPr>
          <w:rFonts w:hint="eastAsia"/>
          <w:sz w:val="21"/>
          <w:szCs w:val="21"/>
          <w:lang w:val="en-US" w:eastAsia="zh-CN"/>
        </w:rPr>
        <w:t>格式自拟</w:t>
      </w:r>
      <w:r>
        <w:rPr>
          <w:rFonts w:hint="eastAsia"/>
          <w:sz w:val="21"/>
          <w:szCs w:val="21"/>
          <w:lang w:eastAsia="zh-CN"/>
        </w:rPr>
        <w:t>）</w:t>
      </w:r>
    </w:p>
    <w:p>
      <w:pPr>
        <w:spacing w:line="400" w:lineRule="exact"/>
        <w:ind w:firstLine="420" w:firstLineChars="200"/>
        <w:rPr>
          <w:rFonts w:ascii="楷体" w:eastAsia="楷体" w:hAnsi="楷体" w:cs="楷体"/>
          <w:color w:val="366091"/>
          <w:sz w:val="21"/>
          <w:szCs w:val="21"/>
        </w:rPr>
      </w:pPr>
      <w:r>
        <w:rPr>
          <w:rFonts w:ascii="Times New Roman" w:eastAsia="宋体" w:hAnsi="Times New Roman" w:cs="Times New Roman" w:hint="eastAsia"/>
          <w:sz w:val="21"/>
          <w:szCs w:val="21"/>
          <w:lang w:val="en-US" w:eastAsia="zh-CN"/>
        </w:rPr>
        <w:t>九、</w:t>
      </w:r>
      <w:r>
        <w:rPr>
          <w:rFonts w:cs="Times New Roman" w:hint="eastAsia"/>
          <w:sz w:val="21"/>
          <w:szCs w:val="21"/>
          <w:lang w:val="en-US" w:eastAsia="zh-CN"/>
        </w:rPr>
        <w:t>中小企业</w:t>
      </w:r>
      <w:r>
        <w:rPr>
          <w:rFonts w:ascii="Times New Roman" w:eastAsia="宋体" w:hAnsi="Times New Roman" w:cs="Times New Roman" w:hint="eastAsia"/>
          <w:sz w:val="21"/>
          <w:szCs w:val="21"/>
          <w:lang w:val="en-US" w:eastAsia="zh-CN"/>
        </w:rPr>
        <w:t>声明</w:t>
      </w:r>
      <w:r>
        <w:rPr>
          <w:sz w:val="21"/>
          <w:szCs w:val="21"/>
        </w:rPr>
        <w:t>函</w:t>
      </w:r>
    </w:p>
    <w:p>
      <w:pPr>
        <w:spacing w:line="400" w:lineRule="exact"/>
        <w:ind w:firstLine="420" w:firstLineChars="200"/>
        <w:rPr>
          <w:rFonts w:ascii="Times New Roman" w:eastAsia="宋体" w:hAnsi="Times New Roman" w:cs="Times New Roman" w:hint="eastAsia"/>
          <w:sz w:val="21"/>
          <w:szCs w:val="21"/>
          <w:lang w:val="en-US" w:eastAsia="zh-CN"/>
        </w:rPr>
      </w:pPr>
      <w:r>
        <w:rPr>
          <w:rFonts w:hint="eastAsia"/>
          <w:sz w:val="21"/>
          <w:szCs w:val="21"/>
        </w:rPr>
        <w:t>十、</w:t>
      </w:r>
      <w:r>
        <w:rPr>
          <w:rFonts w:ascii="Times New Roman" w:eastAsia="宋体" w:hAnsi="Times New Roman" w:cs="Times New Roman" w:hint="eastAsia"/>
          <w:sz w:val="21"/>
          <w:szCs w:val="21"/>
          <w:lang w:eastAsia="zh-CN"/>
        </w:rPr>
        <w:t>政府采购违法行为风险知悉确认书</w:t>
      </w:r>
    </w:p>
    <w:p>
      <w:pPr>
        <w:spacing w:line="400" w:lineRule="exact"/>
        <w:ind w:firstLine="420" w:firstLineChars="200"/>
      </w:pPr>
      <w:r>
        <w:rPr>
          <w:rFonts w:hint="eastAsia"/>
          <w:lang w:val="en-US" w:eastAsia="zh-CN"/>
        </w:rPr>
        <w:t>十一、</w:t>
      </w:r>
      <w:r>
        <w:rPr>
          <w:rFonts w:hint="eastAsia"/>
        </w:rPr>
        <w:t>其他招标文件要求的内容及投标人认为需要补充的内容（格式自拟）</w:t>
      </w:r>
    </w:p>
    <w:p>
      <w:pPr>
        <w:spacing w:line="400" w:lineRule="exact"/>
      </w:pPr>
    </w:p>
    <w:p>
      <w:pPr>
        <w:spacing w:line="400" w:lineRule="exact"/>
      </w:pPr>
      <w:r>
        <w:rPr>
          <w:rFonts w:ascii="黑体" w:eastAsia="黑体" w:hAnsi="黑体" w:cs="黑体" w:hint="eastAsia"/>
        </w:rPr>
        <w:t>非信息公开部分</w:t>
      </w:r>
    </w:p>
    <w:p>
      <w:pPr>
        <w:spacing w:line="400" w:lineRule="exact"/>
        <w:ind w:firstLine="420" w:firstLineChars="200"/>
        <w:rPr>
          <w:rFonts w:ascii="Times New Roman" w:eastAsia="宋体" w:hAnsi="Times New Roman" w:cs="Times New Roman" w:hint="eastAsia"/>
        </w:rPr>
      </w:pPr>
      <w:r>
        <w:rPr>
          <w:rFonts w:ascii="Times New Roman" w:eastAsia="宋体" w:hAnsi="Times New Roman" w:cs="Times New Roman" w:hint="eastAsia"/>
        </w:rPr>
        <w:t>一、法定代表人（单位负责人）证明书</w:t>
      </w:r>
    </w:p>
    <w:p>
      <w:pPr>
        <w:spacing w:line="400" w:lineRule="exact"/>
        <w:ind w:firstLine="420" w:firstLineChars="200"/>
        <w:rPr>
          <w:rFonts w:ascii="Times New Roman" w:eastAsia="宋体" w:hAnsi="Times New Roman" w:cs="Times New Roman" w:hint="eastAsia"/>
        </w:rPr>
      </w:pPr>
      <w:r>
        <w:rPr>
          <w:rFonts w:ascii="Times New Roman" w:eastAsia="宋体" w:hAnsi="Times New Roman" w:cs="Times New Roman" w:hint="eastAsia"/>
        </w:rPr>
        <w:t>二、授权委托书</w:t>
      </w:r>
    </w:p>
    <w:p>
      <w:pPr>
        <w:spacing w:line="400" w:lineRule="exact"/>
        <w:ind w:firstLine="420" w:firstLineChars="200"/>
        <w:rPr>
          <w:rFonts w:eastAsia="宋体" w:hint="eastAsia"/>
          <w:lang w:val="en-US" w:eastAsia="zh-CN"/>
        </w:rPr>
      </w:pPr>
      <w:r>
        <w:rPr>
          <w:rFonts w:ascii="Times New Roman" w:eastAsia="宋体" w:hAnsi="Times New Roman" w:cs="Times New Roman" w:hint="eastAsia"/>
          <w:lang w:val="en-US" w:eastAsia="zh-CN"/>
        </w:rPr>
        <w:t>三、</w:t>
      </w:r>
      <w:r>
        <w:rPr>
          <w:rFonts w:ascii="Times New Roman" w:eastAsia="宋体" w:hAnsi="Times New Roman" w:cs="Times New Roman" w:hint="eastAsia"/>
        </w:rPr>
        <w:t>供应商基本情况表</w:t>
      </w:r>
    </w:p>
    <w:p>
      <w:pPr>
        <w:spacing w:line="400" w:lineRule="exact"/>
        <w:ind w:firstLine="420" w:firstLineChars="200"/>
      </w:pPr>
      <w:r>
        <w:rPr>
          <w:rFonts w:hint="eastAsia"/>
          <w:lang w:val="en-US" w:eastAsia="zh-CN"/>
        </w:rPr>
        <w:t>四</w:t>
      </w:r>
      <w:r>
        <w:rPr>
          <w:rFonts w:hint="eastAsia"/>
        </w:rPr>
        <w:t>、技术和商务要求偏差表</w:t>
      </w:r>
    </w:p>
    <w:p>
      <w:pPr>
        <w:spacing w:line="400" w:lineRule="exact"/>
        <w:ind w:firstLine="420" w:firstLineChars="200"/>
      </w:pPr>
      <w:r>
        <w:rPr>
          <w:rFonts w:hint="eastAsia"/>
          <w:lang w:val="en-US" w:eastAsia="zh-CN"/>
        </w:rPr>
        <w:t>五</w:t>
      </w:r>
      <w:r>
        <w:rPr>
          <w:rFonts w:hint="eastAsia"/>
        </w:rPr>
        <w:t>、</w:t>
      </w:r>
      <w:r>
        <w:rPr>
          <w:rFonts w:ascii="宋体" w:eastAsia="宋体" w:hAnsi="宋体" w:cs="宋体" w:hint="eastAsia"/>
          <w:szCs w:val="21"/>
        </w:rPr>
        <w:t>实施方案</w:t>
      </w:r>
      <w:r>
        <w:rPr>
          <w:rFonts w:hint="eastAsia"/>
          <w:lang w:eastAsia="zh-CN"/>
        </w:rPr>
        <w:t>（</w:t>
      </w:r>
      <w:r>
        <w:rPr>
          <w:rFonts w:hint="eastAsia"/>
          <w:lang w:val="en-US" w:eastAsia="zh-CN"/>
        </w:rPr>
        <w:t>格式自拟</w:t>
      </w:r>
      <w:r>
        <w:rPr>
          <w:rFonts w:hint="eastAsia"/>
          <w:lang w:eastAsia="zh-CN"/>
        </w:rPr>
        <w:t>）</w:t>
      </w:r>
    </w:p>
    <w:p>
      <w:pPr>
        <w:spacing w:line="400" w:lineRule="exact"/>
        <w:ind w:firstLine="420" w:firstLineChars="200"/>
        <w:rPr>
          <w:rFonts w:hint="eastAsia"/>
        </w:rPr>
      </w:pPr>
      <w:r>
        <w:rPr>
          <w:rFonts w:hint="eastAsia"/>
          <w:lang w:val="en-US" w:eastAsia="zh-CN"/>
        </w:rPr>
        <w:t>六</w:t>
      </w:r>
      <w:r>
        <w:rPr>
          <w:rFonts w:hint="eastAsia"/>
        </w:rPr>
        <w:t>、</w:t>
      </w:r>
      <w:r>
        <w:rPr>
          <w:rFonts w:ascii="宋体" w:eastAsia="宋体" w:hAnsi="宋体" w:cs="宋体" w:hint="eastAsia"/>
          <w:szCs w:val="21"/>
        </w:rPr>
        <w:t>项目重点难点分析、应对措施及相关的合理化建议</w:t>
      </w:r>
      <w:r>
        <w:rPr>
          <w:rFonts w:ascii="宋体" w:eastAsia="宋体" w:hAnsi="宋体" w:cs="宋体" w:hint="eastAsia"/>
          <w:kern w:val="0"/>
          <w:sz w:val="21"/>
          <w:szCs w:val="21"/>
          <w:lang w:val="en-US" w:eastAsia="zh-CN" w:bidi="ar-SA"/>
        </w:rPr>
        <w:t>（格式自拟）</w:t>
      </w:r>
    </w:p>
    <w:p>
      <w:pPr>
        <w:spacing w:line="400" w:lineRule="exact"/>
        <w:ind w:firstLine="420" w:firstLineChars="200"/>
        <w:rPr>
          <w:rFonts w:eastAsia="宋体" w:hint="eastAsia"/>
          <w:lang w:val="en-US" w:eastAsia="zh-CN"/>
        </w:rPr>
      </w:pPr>
      <w:r>
        <w:rPr>
          <w:rFonts w:hint="eastAsia"/>
          <w:lang w:val="en-US" w:eastAsia="zh-CN"/>
        </w:rPr>
        <w:t>七、</w:t>
      </w:r>
      <w:r>
        <w:rPr>
          <w:rFonts w:ascii="宋体" w:eastAsia="宋体" w:hAnsi="宋体" w:cs="宋体" w:hint="eastAsia"/>
          <w:sz w:val="21"/>
          <w:szCs w:val="21"/>
        </w:rPr>
        <w:t>质量（完成时间、安全）保障措施及方案</w:t>
      </w:r>
      <w:r>
        <w:rPr>
          <w:rFonts w:hint="eastAsia"/>
          <w:lang w:eastAsia="zh-CN"/>
        </w:rPr>
        <w:t>（</w:t>
      </w:r>
      <w:r>
        <w:rPr>
          <w:rFonts w:hint="eastAsia"/>
          <w:lang w:val="en-US" w:eastAsia="zh-CN"/>
        </w:rPr>
        <w:t>格式自拟</w:t>
      </w:r>
      <w:r>
        <w:rPr>
          <w:rFonts w:hint="eastAsia"/>
          <w:lang w:eastAsia="zh-CN"/>
        </w:rPr>
        <w:t>）</w:t>
      </w:r>
    </w:p>
    <w:p>
      <w:pPr>
        <w:spacing w:line="400" w:lineRule="exact"/>
        <w:ind w:firstLine="420" w:firstLineChars="200"/>
        <w:rPr>
          <w:rFonts w:eastAsia="宋体" w:hint="eastAsia"/>
          <w:lang w:val="en-US" w:eastAsia="zh-CN"/>
        </w:rPr>
      </w:pPr>
      <w:r>
        <w:rPr>
          <w:rFonts w:hint="eastAsia"/>
          <w:lang w:val="en-US" w:eastAsia="zh-CN"/>
        </w:rPr>
        <w:t>八、</w:t>
      </w:r>
      <w:r>
        <w:rPr>
          <w:rFonts w:ascii="宋体" w:eastAsia="宋体" w:hAnsi="宋体" w:cs="宋体" w:hint="eastAsia"/>
          <w:szCs w:val="21"/>
        </w:rPr>
        <w:t>拟安排的项目负责人情况（仅限一人）</w:t>
      </w:r>
    </w:p>
    <w:p>
      <w:pPr>
        <w:spacing w:line="400" w:lineRule="exact"/>
        <w:ind w:firstLine="420" w:firstLineChars="200"/>
        <w:rPr>
          <w:rFonts w:hint="default"/>
          <w:lang w:val="en-US" w:eastAsia="zh-CN"/>
        </w:rPr>
      </w:pPr>
      <w:r>
        <w:rPr>
          <w:rFonts w:hint="eastAsia"/>
          <w:lang w:val="en-US" w:eastAsia="zh-CN"/>
        </w:rPr>
        <w:t>九、</w:t>
      </w:r>
      <w:r>
        <w:rPr>
          <w:rFonts w:ascii="宋体" w:eastAsia="宋体" w:hAnsi="宋体" w:cs="宋体" w:hint="eastAsia"/>
          <w:szCs w:val="21"/>
        </w:rPr>
        <w:t>拟安排的项目主要团队成员（主要技术人员）情况（项目负责人除外）</w:t>
      </w:r>
      <w:r>
        <w:rPr>
          <w:rFonts w:hint="eastAsia"/>
          <w:lang w:eastAsia="zh-CN"/>
        </w:rPr>
        <w:t>（</w:t>
      </w:r>
      <w:r>
        <w:rPr>
          <w:rFonts w:hint="eastAsia"/>
          <w:lang w:val="en-US" w:eastAsia="zh-CN"/>
        </w:rPr>
        <w:t>格式自拟</w:t>
      </w:r>
      <w:r>
        <w:rPr>
          <w:rFonts w:hint="eastAsia"/>
          <w:lang w:eastAsia="zh-CN"/>
        </w:rPr>
        <w:t>）</w:t>
      </w:r>
    </w:p>
    <w:p>
      <w:pPr>
        <w:spacing w:line="400" w:lineRule="exact"/>
        <w:ind w:firstLine="420" w:firstLineChars="200"/>
        <w:rPr>
          <w:szCs w:val="21"/>
        </w:rPr>
      </w:pPr>
      <w:r>
        <w:rPr>
          <w:rFonts w:hint="eastAsia"/>
          <w:lang w:val="en-US" w:eastAsia="zh-CN"/>
        </w:rPr>
        <w:t>十、</w:t>
      </w:r>
      <w:r>
        <w:rPr>
          <w:rFonts w:hint="eastAsia"/>
          <w:lang w:eastAsia="zh-CN"/>
        </w:rPr>
        <w:t>、</w:t>
      </w:r>
      <w:r>
        <w:rPr>
          <w:rFonts w:hint="eastAsia"/>
        </w:rPr>
        <w:t>环保标志产品、节能产品政策适用性说明</w:t>
      </w:r>
      <w:r>
        <w:rPr>
          <w:rFonts w:ascii="楷体" w:eastAsia="楷体" w:hAnsi="楷体" w:cs="楷体" w:hint="eastAsia"/>
          <w:color w:val="366091"/>
        </w:rPr>
        <w:t>（不适用政府采购环保标志产品、节能产品政策的不需要填写）</w:t>
      </w:r>
    </w:p>
    <w:p>
      <w:pPr>
        <w:spacing w:line="400" w:lineRule="exact"/>
        <w:ind w:firstLine="420" w:firstLineChars="200"/>
        <w:rPr>
          <w:rFonts w:hint="eastAsia"/>
        </w:rPr>
      </w:pPr>
      <w:r>
        <w:rPr>
          <w:rFonts w:hint="eastAsia"/>
          <w:szCs w:val="21"/>
          <w:lang w:val="en-US" w:eastAsia="zh-CN"/>
        </w:rPr>
        <w:t>十一</w:t>
      </w:r>
      <w:r>
        <w:rPr>
          <w:rFonts w:hint="eastAsia"/>
          <w:szCs w:val="21"/>
        </w:rPr>
        <w:t>、</w:t>
      </w:r>
      <w:r>
        <w:t>履约进度计划表</w:t>
      </w:r>
    </w:p>
    <w:p>
      <w:pPr>
        <w:widowControl/>
        <w:jc w:val="left"/>
        <w:rPr>
          <w:rFonts w:ascii="华文中宋" w:eastAsia="华文中宋" w:hAnsi="华文中宋"/>
          <w:color w:val="000000"/>
          <w:sz w:val="28"/>
          <w:szCs w:val="28"/>
        </w:rPr>
      </w:pPr>
      <w:r>
        <w:rPr>
          <w:rFonts w:ascii="华文中宋" w:eastAsia="华文中宋" w:hAnsi="华文中宋"/>
          <w:color w:val="000000"/>
          <w:sz w:val="28"/>
          <w:szCs w:val="28"/>
        </w:rPr>
        <w:br w:type="page"/>
      </w:r>
    </w:p>
    <w:p>
      <w:pPr>
        <w:adjustRightInd w:val="0"/>
        <w:snapToGrid w:val="0"/>
        <w:spacing w:line="300" w:lineRule="auto"/>
        <w:jc w:val="center"/>
        <w:rPr>
          <w:rFonts w:ascii="华文中宋" w:eastAsia="华文中宋" w:hAnsi="华文中宋"/>
          <w:color w:val="000000"/>
          <w:sz w:val="28"/>
          <w:szCs w:val="28"/>
        </w:rPr>
      </w:pPr>
    </w:p>
    <w:p>
      <w:pPr>
        <w:adjustRightInd w:val="0"/>
        <w:snapToGrid w:val="0"/>
        <w:spacing w:line="300" w:lineRule="auto"/>
        <w:jc w:val="center"/>
        <w:rPr>
          <w:rFonts w:ascii="华文中宋" w:eastAsia="华文中宋" w:hAnsi="华文中宋"/>
          <w:color w:val="000000"/>
          <w:sz w:val="28"/>
          <w:szCs w:val="28"/>
        </w:rPr>
      </w:pPr>
    </w:p>
    <w:p>
      <w:pPr>
        <w:jc w:val="center"/>
        <w:rPr>
          <w:rFonts w:ascii="黑体" w:eastAsia="黑体" w:hAnsi="黑体" w:cs="黑体" w:hint="default"/>
          <w:sz w:val="44"/>
          <w:szCs w:val="44"/>
          <w:lang w:eastAsia="zh-CN"/>
        </w:rPr>
      </w:pPr>
      <w:r>
        <w:rPr>
          <w:rFonts w:ascii="黑体" w:eastAsia="黑体" w:hAnsi="黑体" w:cs="黑体" w:hint="eastAsia"/>
          <w:sz w:val="44"/>
          <w:szCs w:val="44"/>
          <w:lang w:eastAsia="zh-CN"/>
        </w:rPr>
        <w:t>南方医科大学深圳坪山医院（深圳市坪山区人民医院）新院区空气检测及除甲醛</w:t>
      </w:r>
    </w:p>
    <w:p>
      <w:pPr>
        <w:jc w:val="center"/>
        <w:rPr>
          <w:rFonts w:ascii="黑体" w:eastAsia="黑体" w:hAnsi="黑体" w:cs="黑体"/>
          <w:sz w:val="44"/>
          <w:szCs w:val="44"/>
        </w:rPr>
      </w:pPr>
      <w:r>
        <w:rPr>
          <w:rFonts w:ascii="黑体" w:eastAsia="黑体" w:hAnsi="黑体" w:cs="黑体" w:hint="eastAsia"/>
          <w:sz w:val="44"/>
          <w:szCs w:val="44"/>
        </w:rPr>
        <w:t>招标文件第一册（专用部分）</w:t>
      </w:r>
    </w:p>
    <w:p>
      <w:pPr>
        <w:jc w:val="cente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楷体_GB2312" w:eastAsia="楷体_GB2312" w:hAnsi="Calibri"/>
          <w:b/>
          <w:bCs/>
          <w:color w:val="000000"/>
          <w:sz w:val="28"/>
          <w:szCs w:val="28"/>
        </w:rPr>
      </w:pPr>
      <w:r>
        <w:rPr>
          <w:rFonts w:ascii="楷体_GB2312" w:eastAsia="楷体_GB2312" w:hint="eastAsia"/>
          <w:sz w:val="28"/>
          <w:szCs w:val="28"/>
        </w:rPr>
        <w:t>（招标编号：</w:t>
      </w:r>
      <w:r>
        <w:rPr>
          <w:rFonts w:ascii="宋体" w:eastAsia="楷体_GB2312" w:hAnsi="宋体" w:cs="宋体" w:hint="eastAsia"/>
          <w:sz w:val="30"/>
          <w:szCs w:val="30"/>
          <w:lang w:eastAsia="zh-CN"/>
        </w:rPr>
        <w:t>PSDL2026000028</w:t>
      </w:r>
      <w:r>
        <w:rPr>
          <w:rFonts w:ascii="楷体_GB2312" w:eastAsia="楷体_GB2312" w:hint="eastAsia"/>
          <w:sz w:val="28"/>
          <w:szCs w:val="28"/>
        </w:rPr>
        <w:t>）</w:t>
      </w: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r>
        <w:rPr>
          <w:rFonts w:ascii="华文中宋" w:eastAsia="华文中宋" w:hAnsi="Calibri" w:hint="eastAsia"/>
          <w:b/>
          <w:bCs/>
          <w:color w:val="000000"/>
          <w:sz w:val="28"/>
          <w:szCs w:val="22"/>
          <w:lang w:eastAsia="zh-CN"/>
        </w:rPr>
        <w:drawing>
          <wp:inline distT="0" distB="0" distL="114300" distR="114300">
            <wp:extent cx="2130425" cy="1621155"/>
            <wp:effectExtent l="0" t="0" r="3175" b="17145"/>
            <wp:docPr id="2" name="图片 1" descr="龙达招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龙达招标"/>
                    <pic:cNvPicPr>
                      <a:picLocks noChangeAspect="1"/>
                    </pic:cNvPicPr>
                  </pic:nvPicPr>
                  <pic:blipFill>
                    <a:blip xmlns:r="http://schemas.openxmlformats.org/officeDocument/2006/relationships" r:embed="rId5"/>
                    <a:stretch>
                      <a:fillRect/>
                    </a:stretch>
                  </pic:blipFill>
                  <pic:spPr>
                    <a:xfrm>
                      <a:off x="0" y="0"/>
                      <a:ext cx="2130425" cy="1621155"/>
                    </a:xfrm>
                    <a:prstGeom prst="rect">
                      <a:avLst/>
                    </a:prstGeom>
                    <a:noFill/>
                    <a:ln>
                      <a:noFill/>
                    </a:ln>
                  </pic:spPr>
                </pic:pic>
              </a:graphicData>
            </a:graphic>
          </wp:inline>
        </w:drawing>
      </w:r>
    </w:p>
    <w:p>
      <w:pPr>
        <w:adjustRightInd w:val="0"/>
        <w:snapToGrid w:val="0"/>
        <w:spacing w:line="300" w:lineRule="auto"/>
        <w:jc w:val="center"/>
        <w:rPr>
          <w:rFonts w:ascii="华文中宋" w:eastAsia="华文中宋" w:hAnsi="Calibri"/>
          <w:b/>
          <w:bCs/>
          <w:color w:val="000000"/>
          <w:sz w:val="28"/>
          <w:szCs w:val="22"/>
        </w:rPr>
      </w:pPr>
    </w:p>
    <w:p>
      <w:pPr>
        <w:spacing w:after="156" w:afterLines="50" w:line="320" w:lineRule="exact"/>
        <w:jc w:val="both"/>
        <w:rPr>
          <w:rFonts w:ascii="宋体" w:hAnsi="宋体" w:cs="Arial"/>
          <w:b/>
          <w:color w:val="000000"/>
          <w:sz w:val="24"/>
        </w:rPr>
      </w:pPr>
    </w:p>
    <w:p>
      <w:pPr>
        <w:spacing w:after="156" w:afterLines="50" w:line="320" w:lineRule="exact"/>
        <w:jc w:val="both"/>
        <w:rPr>
          <w:rFonts w:ascii="宋体" w:hAnsi="宋体" w:cs="Arial"/>
          <w:b/>
          <w:color w:val="000000"/>
          <w:sz w:val="24"/>
        </w:rPr>
      </w:pPr>
    </w:p>
    <w:p>
      <w:pPr>
        <w:adjustRightInd w:val="0"/>
        <w:snapToGrid w:val="0"/>
        <w:spacing w:line="300" w:lineRule="auto"/>
        <w:jc w:val="both"/>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widowControl/>
        <w:spacing w:line="480" w:lineRule="exact"/>
        <w:jc w:val="center"/>
        <w:rPr>
          <w:rFonts w:ascii="黑体" w:eastAsia="黑体" w:hAnsi="华文中宋" w:cs="Arial"/>
          <w:color w:val="000000"/>
          <w:szCs w:val="21"/>
        </w:rPr>
      </w:pPr>
      <w:r>
        <w:rPr>
          <w:rFonts w:ascii="黑体" w:eastAsia="黑体" w:hAnsi="华文中宋" w:cs="Arial" w:hint="eastAsia"/>
          <w:color w:val="000000"/>
          <w:sz w:val="32"/>
          <w:szCs w:val="32"/>
        </w:rPr>
        <w:t>深圳龙达招标有限公司</w:t>
      </w:r>
    </w:p>
    <w:p>
      <w:pPr>
        <w:spacing w:line="400" w:lineRule="exact"/>
        <w:jc w:val="center"/>
        <w:rPr>
          <w:rFonts w:ascii="仿宋_GB2312" w:eastAsia="仿宋_GB2312"/>
          <w:sz w:val="28"/>
          <w:szCs w:val="28"/>
        </w:rPr>
      </w:pPr>
      <w:r>
        <w:rPr>
          <w:rFonts w:ascii="黑体" w:eastAsia="黑体" w:hAnsi="华文中宋" w:cs="Arial" w:hint="eastAsia"/>
          <w:color w:val="000000"/>
          <w:sz w:val="32"/>
          <w:szCs w:val="32"/>
        </w:rPr>
        <w:t>二</w:t>
      </w:r>
      <w:r>
        <w:rPr>
          <w:rFonts w:ascii="黑体" w:eastAsia="黑体" w:hAnsi="华文中宋" w:hint="eastAsia"/>
          <w:sz w:val="28"/>
          <w:szCs w:val="28"/>
        </w:rPr>
        <w:t>○</w:t>
      </w:r>
      <w:r>
        <w:rPr>
          <w:rFonts w:ascii="黑体" w:eastAsia="黑体" w:hAnsi="华文中宋" w:cs="Arial" w:hint="eastAsia"/>
          <w:color w:val="000000"/>
          <w:sz w:val="32"/>
          <w:szCs w:val="32"/>
        </w:rPr>
        <w:t>二</w:t>
      </w:r>
      <w:r>
        <w:rPr>
          <w:rFonts w:ascii="黑体" w:eastAsia="黑体" w:hAnsi="华文中宋" w:cs="Arial" w:hint="eastAsia"/>
          <w:color w:val="000000"/>
          <w:sz w:val="32"/>
          <w:szCs w:val="32"/>
          <w:lang w:val="en-US" w:eastAsia="zh-CN"/>
        </w:rPr>
        <w:t>六</w:t>
      </w:r>
      <w:r>
        <w:rPr>
          <w:rFonts w:ascii="黑体" w:eastAsia="黑体" w:hAnsi="华文中宋" w:cs="Arial" w:hint="eastAsia"/>
          <w:color w:val="000000"/>
          <w:sz w:val="32"/>
          <w:szCs w:val="32"/>
        </w:rPr>
        <w:t>年</w:t>
      </w:r>
    </w:p>
    <w:p>
      <w:pPr>
        <w:spacing w:line="360" w:lineRule="auto"/>
        <w:jc w:val="center"/>
      </w:pPr>
    </w:p>
    <w:p>
      <w:pPr>
        <w:sectPr>
          <w:footerReference w:type="even" r:id="rId6"/>
          <w:footerReference w:type="default" r:id="rId7"/>
          <w:pgSz w:w="11906" w:h="16838"/>
          <w:pgMar w:top="1440" w:right="1800" w:bottom="1440" w:left="1800" w:header="851" w:footer="992" w:gutter="0"/>
          <w:pgNumType w:fmt="decimal" w:start="1"/>
          <w:cols w:num="1" w:space="720"/>
          <w:docGrid w:type="lines" w:linePitch="312" w:charSpace="0"/>
        </w:sectPr>
      </w:pPr>
    </w:p>
    <w:p>
      <w:pPr>
        <w:spacing w:line="440" w:lineRule="exact"/>
      </w:pPr>
      <w:bookmarkStart w:id="27" w:name="_Toc144974478"/>
      <w:bookmarkStart w:id="28" w:name="_Toc152042286"/>
    </w:p>
    <w:p>
      <w:pPr>
        <w:pStyle w:val="Heading1"/>
        <w:jc w:val="center"/>
      </w:pPr>
      <w:bookmarkEnd w:id="27"/>
      <w:bookmarkEnd w:id="28"/>
      <w:bookmarkStart w:id="29" w:name="_Toc247085669"/>
      <w:bookmarkStart w:id="30" w:name="_Toc246996898"/>
      <w:bookmarkStart w:id="31" w:name="_Toc21297"/>
      <w:bookmarkStart w:id="32" w:name="_Toc27503"/>
      <w:bookmarkStart w:id="33" w:name="_Toc12364"/>
      <w:bookmarkStart w:id="34" w:name="_Toc13045"/>
      <w:bookmarkStart w:id="35" w:name="_Toc296602400"/>
      <w:bookmarkStart w:id="36" w:name="_Toc23783165"/>
      <w:bookmarkStart w:id="37" w:name="_Toc14045"/>
      <w:bookmarkStart w:id="38" w:name="_Toc256000005"/>
      <w:r>
        <w:rPr>
          <w:rFonts w:hint="eastAsia"/>
        </w:rPr>
        <w:t>目   录</w:t>
      </w:r>
      <w:bookmarkEnd w:id="38"/>
      <w:bookmarkEnd w:id="29"/>
      <w:bookmarkEnd w:id="30"/>
      <w:bookmarkEnd w:id="31"/>
      <w:bookmarkEnd w:id="32"/>
      <w:bookmarkEnd w:id="33"/>
      <w:bookmarkEnd w:id="34"/>
      <w:bookmarkEnd w:id="35"/>
      <w:bookmarkEnd w:id="36"/>
      <w:bookmarkEnd w:id="37"/>
    </w:p>
    <w:p>
      <w:pPr>
        <w:pStyle w:val="TOC1"/>
        <w:tabs>
          <w:tab w:val="right" w:leader="dot" w:pos="8296"/>
        </w:tabs>
        <w:rPr>
          <w:rFonts w:asciiTheme="minorHAnsi" w:hAnsiTheme="minorHAnsi"/>
          <w:noProof/>
          <w:sz w:val="22"/>
        </w:rPr>
      </w:pPr>
      <w:bookmarkStart w:id="39" w:name="_Toc246996899"/>
      <w:bookmarkStart w:id="40" w:name="_Toc246996156"/>
      <w:bookmarkStart w:id="41" w:name="_Toc247085670"/>
      <w:r>
        <w:rPr>
          <w:rFonts w:ascii="宋体" w:hAnsi="宋体"/>
          <w:iCs/>
        </w:rPr>
        <w:fldChar w:fldCharType="begin"/>
      </w:r>
      <w:r>
        <w:rPr>
          <w:rFonts w:ascii="宋体" w:hAnsi="宋体"/>
          <w:iCs/>
        </w:rPr>
        <w:instrText xml:space="preserve"> TOC \o \h \z \u </w:instrText>
      </w:r>
      <w:r>
        <w:rPr>
          <w:rFonts w:ascii="宋体" w:hAnsi="宋体"/>
          <w:iCs/>
        </w:rPr>
        <w:fldChar w:fldCharType="separate"/>
      </w:r>
      <w:r>
        <w:fldChar w:fldCharType="begin"/>
      </w:r>
      <w:r>
        <w:rPr>
          <w:rStyle w:val="Hyperlink"/>
        </w:rPr>
        <w:instrText xml:space="preserve"> HYPERLINK \l "_Toc256000000" </w:instrText>
      </w:r>
      <w:r>
        <w:fldChar w:fldCharType="separate"/>
      </w:r>
      <w:r>
        <w:rPr>
          <w:rStyle w:val="Hyperlink"/>
          <w:rFonts w:hint="eastAsia"/>
        </w:rPr>
        <w:t>南方医科大学深圳坪山医院（深圳市坪山区人民医院）新院区空气检测及除甲醛</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"_Toc256000001" </w:instrText>
      </w:r>
      <w:r>
        <w:fldChar w:fldCharType="separate"/>
      </w:r>
      <w:r>
        <w:rPr>
          <w:rStyle w:val="Hyperlink"/>
          <w:rFonts w:ascii="黑体" w:eastAsia="黑体" w:hAnsi="黑体" w:hint="eastAsia"/>
        </w:rPr>
        <w:t>招标文件信息</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"_Toc256000002" </w:instrText>
      </w:r>
      <w:r>
        <w:fldChar w:fldCharType="separate"/>
      </w:r>
      <w:r>
        <w:rPr>
          <w:rStyle w:val="Hyperlink"/>
          <w:rFonts w:ascii="黑体" w:eastAsia="黑体" w:hAnsi="黑体" w:hint="eastAsia"/>
        </w:rPr>
        <w:t>资格性审查表</w:t>
      </w:r>
      <w:r>
        <w:rPr>
          <w:rStyle w:val="Hyperlink"/>
        </w:rPr>
        <w:tab/>
      </w:r>
      <w:r>
        <w:fldChar w:fldCharType="begin"/>
      </w:r>
      <w:r>
        <w:rPr>
          <w:rStyle w:val="Hyperlink"/>
        </w:rPr>
        <w:instrText xml:space="preserve"> PAGEREF _Toc256000002 \h </w:instrText>
      </w:r>
      <w:r>
        <w:fldChar w:fldCharType="separate"/>
      </w:r>
      <w:r>
        <w:rPr>
          <w:rStyle w:val="Hyperlink"/>
        </w:rPr>
        <w:t>2</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"_Toc256000003" </w:instrText>
      </w:r>
      <w:r>
        <w:fldChar w:fldCharType="separate"/>
      </w:r>
      <w:r>
        <w:rPr>
          <w:rStyle w:val="Hyperlink"/>
          <w:rFonts w:ascii="黑体" w:eastAsia="黑体" w:hAnsi="黑体" w:hint="eastAsia"/>
        </w:rPr>
        <w:t>符合性审查表</w:t>
      </w:r>
      <w:r>
        <w:rPr>
          <w:rStyle w:val="Hyperlink"/>
        </w:rPr>
        <w:tab/>
      </w:r>
      <w:r>
        <w:fldChar w:fldCharType="begin"/>
      </w:r>
      <w:r>
        <w:rPr>
          <w:rStyle w:val="Hyperlink"/>
        </w:rPr>
        <w:instrText xml:space="preserve"> PAGEREF _Toc256000003 \h </w:instrText>
      </w:r>
      <w:r>
        <w:fldChar w:fldCharType="separate"/>
      </w:r>
      <w:r>
        <w:rPr>
          <w:rStyle w:val="Hyperlink"/>
        </w:rPr>
        <w:t>2</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"_Toc256000004" </w:instrText>
      </w:r>
      <w:r>
        <w:fldChar w:fldCharType="separate"/>
      </w:r>
      <w:r>
        <w:rPr>
          <w:rStyle w:val="Hyperlink"/>
          <w:rFonts w:ascii="黑体" w:eastAsia="黑体" w:hAnsi="黑体" w:hint="eastAsia"/>
        </w:rPr>
        <w:t>评标信息表</w:t>
      </w:r>
      <w:r>
        <w:rPr>
          <w:rStyle w:val="Hyperlink"/>
        </w:rPr>
        <w:tab/>
      </w:r>
      <w:r>
        <w:fldChar w:fldCharType="begin"/>
      </w:r>
      <w:r>
        <w:rPr>
          <w:rStyle w:val="Hyperlink"/>
        </w:rPr>
        <w:instrText xml:space="preserve"> PAGEREF _Toc256000004 \h </w:instrText>
      </w:r>
      <w:r>
        <w:fldChar w:fldCharType="separate"/>
      </w:r>
      <w:r>
        <w:rPr>
          <w:rStyle w:val="Hyperlink"/>
        </w:rPr>
        <w:t>4</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"_Toc256000005" </w:instrText>
      </w:r>
      <w:r>
        <w:fldChar w:fldCharType="separate"/>
      </w:r>
      <w:r>
        <w:rPr>
          <w:rStyle w:val="Hyperlink"/>
          <w:rFonts w:hint="eastAsia"/>
        </w:rPr>
        <w:t>目   录</w:t>
      </w:r>
      <w:r>
        <w:rPr>
          <w:rStyle w:val="Hyperlink"/>
        </w:rPr>
        <w:tab/>
      </w:r>
      <w:r>
        <w:fldChar w:fldCharType="begin"/>
      </w:r>
      <w:r>
        <w:rPr>
          <w:rStyle w:val="Hyperlink"/>
        </w:rPr>
        <w:instrText xml:space="preserve"> PAGEREF _Toc256000005 \h </w:instrText>
      </w:r>
      <w:r>
        <w:fldChar w:fldCharType="separate"/>
      </w:r>
      <w:r>
        <w:rPr>
          <w:rStyle w:val="Hyperlink"/>
        </w:rPr>
        <w:t>10</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"_Toc256000007" </w:instrText>
      </w:r>
      <w:r>
        <w:fldChar w:fldCharType="separate"/>
      </w:r>
      <w:r>
        <w:rPr>
          <w:rStyle w:val="Hyperlink"/>
          <w:rFonts w:ascii="宋体" w:hAnsi="宋体" w:cs="宋体" w:hint="eastAsia"/>
          <w:kern w:val="0"/>
        </w:rPr>
        <w:t>特别警示条款</w:t>
      </w:r>
      <w:r>
        <w:rPr>
          <w:rStyle w:val="Hyperlink"/>
        </w:rPr>
        <w:tab/>
      </w:r>
      <w:r>
        <w:fldChar w:fldCharType="begin"/>
      </w:r>
      <w:r>
        <w:rPr>
          <w:rStyle w:val="Hyperlink"/>
        </w:rPr>
        <w:instrText xml:space="preserve"> PAGEREF _Toc256000007 \h </w:instrText>
      </w:r>
      <w:r>
        <w:fldChar w:fldCharType="separate"/>
      </w:r>
      <w:r>
        <w:rPr>
          <w:rStyle w:val="Hyperlink"/>
        </w:rPr>
        <w:t>14</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"_Toc256000008" </w:instrText>
      </w:r>
      <w:r>
        <w:fldChar w:fldCharType="separate"/>
      </w:r>
      <w:r>
        <w:rPr>
          <w:rStyle w:val="Hyperlink"/>
          <w:rFonts w:hint="eastAsia"/>
        </w:rPr>
        <w:t>第一章  投标邀请</w:t>
      </w:r>
      <w:r>
        <w:rPr>
          <w:rStyle w:val="Hyperlink"/>
        </w:rPr>
        <w:tab/>
      </w:r>
      <w:r>
        <w:fldChar w:fldCharType="begin"/>
      </w:r>
      <w:r>
        <w:rPr>
          <w:rStyle w:val="Hyperlink"/>
        </w:rPr>
        <w:instrText xml:space="preserve"> PAGEREF _Toc256000008 \h </w:instrText>
      </w:r>
      <w:r>
        <w:fldChar w:fldCharType="separate"/>
      </w:r>
      <w:r>
        <w:rPr>
          <w:rStyle w:val="Hyperlink"/>
        </w:rPr>
        <w:t>16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"_Toc256000009" </w:instrText>
      </w:r>
      <w:r>
        <w:fldChar w:fldCharType="separate"/>
      </w:r>
      <w:r>
        <w:rPr>
          <w:rStyle w:val="Hyperlink"/>
          <w:rFonts w:ascii="宋体" w:hAnsi="宋体" w:cs="宋体" w:hint="eastAsia"/>
        </w:rPr>
        <w:t>一、项目基本情况</w:t>
      </w:r>
      <w:r>
        <w:rPr>
          <w:rStyle w:val="Hyperlink"/>
        </w:rPr>
        <w:tab/>
      </w:r>
      <w:r>
        <w:fldChar w:fldCharType="begin"/>
      </w:r>
      <w:r>
        <w:rPr>
          <w:rStyle w:val="Hyperlink"/>
        </w:rPr>
        <w:instrText xml:space="preserve"> PAGEREF _Toc256000009 \h </w:instrText>
      </w:r>
      <w:r>
        <w:fldChar w:fldCharType="separate"/>
      </w:r>
      <w:r>
        <w:rPr>
          <w:rStyle w:val="Hyperlink"/>
        </w:rPr>
        <w:t>16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"_Toc256000010" </w:instrText>
      </w:r>
      <w:r>
        <w:fldChar w:fldCharType="separate"/>
      </w:r>
      <w:r>
        <w:rPr>
          <w:rStyle w:val="Hyperlink"/>
          <w:rFonts w:ascii="宋体" w:hAnsi="宋体" w:cs="宋体" w:hint="eastAsia"/>
        </w:rPr>
        <w:t>二、供应商的资格要求</w:t>
      </w:r>
      <w:r>
        <w:rPr>
          <w:rStyle w:val="Hyperlink"/>
        </w:rPr>
        <w:tab/>
      </w:r>
      <w:r>
        <w:fldChar w:fldCharType="begin"/>
      </w:r>
      <w:r>
        <w:rPr>
          <w:rStyle w:val="Hyperlink"/>
        </w:rPr>
        <w:instrText xml:space="preserve"> PAGEREF _Toc256000010 \h </w:instrText>
      </w:r>
      <w:r>
        <w:fldChar w:fldCharType="separate"/>
      </w:r>
      <w:r>
        <w:rPr>
          <w:rStyle w:val="Hyperlink"/>
        </w:rPr>
        <w:t>16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"_Toc256000011" </w:instrText>
      </w:r>
      <w:r>
        <w:fldChar w:fldCharType="separate"/>
      </w:r>
      <w:r>
        <w:rPr>
          <w:rStyle w:val="Hyperlink"/>
          <w:rFonts w:ascii="宋体" w:hAnsi="宋体" w:cs="宋体" w:hint="eastAsia"/>
        </w:rPr>
        <w:t>三、对本次采购提出询问，请按以下方式联系</w:t>
      </w:r>
      <w:r>
        <w:rPr>
          <w:rStyle w:val="Hyperlink"/>
        </w:rPr>
        <w:tab/>
      </w:r>
      <w:r>
        <w:fldChar w:fldCharType="begin"/>
      </w:r>
      <w:r>
        <w:rPr>
          <w:rStyle w:val="Hyperlink"/>
        </w:rPr>
        <w:instrText xml:space="preserve"> PAGEREF _Toc256000011 \h </w:instrText>
      </w:r>
      <w:r>
        <w:fldChar w:fldCharType="separate"/>
      </w:r>
      <w:r>
        <w:rPr>
          <w:rStyle w:val="Hyperlink"/>
        </w:rPr>
        <w:t>17</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"_Toc256000012" </w:instrText>
      </w:r>
      <w:r>
        <w:fldChar w:fldCharType="separate"/>
      </w:r>
      <w:r>
        <w:rPr>
          <w:rStyle w:val="Hyperlink"/>
          <w:rFonts w:hint="eastAsia"/>
        </w:rPr>
        <w:t>第二章 项目需求</w:t>
      </w:r>
      <w:r>
        <w:rPr>
          <w:rStyle w:val="Hyperlink"/>
        </w:rPr>
        <w:tab/>
      </w:r>
      <w:r>
        <w:fldChar w:fldCharType="begin"/>
      </w:r>
      <w:r>
        <w:rPr>
          <w:rStyle w:val="Hyperlink"/>
        </w:rPr>
        <w:instrText xml:space="preserve"> PAGEREF _Toc256000012 \h </w:instrText>
      </w:r>
      <w:r>
        <w:fldChar w:fldCharType="separate"/>
      </w:r>
      <w:r>
        <w:rPr>
          <w:rStyle w:val="Hyperlink"/>
        </w:rPr>
        <w:t>18</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"_Toc256000013" </w:instrText>
      </w:r>
      <w:r>
        <w:fldChar w:fldCharType="separate"/>
      </w:r>
      <w:r>
        <w:rPr>
          <w:rStyle w:val="Hyperlink"/>
          <w:rFonts w:hint="eastAsia"/>
          <w:b/>
          <w:bCs/>
          <w:highlight w:val="yellow"/>
        </w:rPr>
        <w:t>A包：空气检测项目</w:t>
      </w:r>
      <w:r>
        <w:rPr>
          <w:rStyle w:val="Hyperlink"/>
        </w:rPr>
        <w:tab/>
      </w:r>
      <w:r>
        <w:fldChar w:fldCharType="begin"/>
      </w:r>
      <w:r>
        <w:rPr>
          <w:rStyle w:val="Hyperlink"/>
        </w:rPr>
        <w:instrText xml:space="preserve"> PAGEREF _Toc256000013 \h </w:instrText>
      </w:r>
      <w:r>
        <w:fldChar w:fldCharType="separate"/>
      </w:r>
      <w:r>
        <w:rPr>
          <w:rStyle w:val="Hyperlink"/>
        </w:rPr>
        <w:t>19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"_Toc256000014" </w:instrText>
      </w:r>
      <w:r>
        <w:fldChar w:fldCharType="separate"/>
      </w:r>
      <w:r>
        <w:rPr>
          <w:rStyle w:val="Hyperlink"/>
          <w:rFonts w:ascii="宋体" w:hAnsi="宋体" w:cstheme="minorBidi" w:hint="eastAsia"/>
          <w:b/>
          <w:bCs/>
        </w:rPr>
        <w:t>一、实质性条款摘要表</w:t>
      </w:r>
      <w:r>
        <w:rPr>
          <w:rStyle w:val="Hyperlink"/>
        </w:rPr>
        <w:tab/>
      </w:r>
      <w:r>
        <w:fldChar w:fldCharType="begin"/>
      </w:r>
      <w:r>
        <w:rPr>
          <w:rStyle w:val="Hyperlink"/>
        </w:rPr>
        <w:instrText xml:space="preserve"> PAGEREF _Toc256000014 \h </w:instrText>
      </w:r>
      <w:r>
        <w:fldChar w:fldCharType="separate"/>
      </w:r>
      <w:r>
        <w:rPr>
          <w:rStyle w:val="Hyperlink"/>
        </w:rPr>
        <w:t>19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"_Toc256000015" </w:instrText>
      </w:r>
      <w:r>
        <w:fldChar w:fldCharType="separate"/>
      </w:r>
      <w:r>
        <w:rPr>
          <w:rStyle w:val="Hyperlink"/>
          <w:rFonts w:ascii="宋体" w:hAnsi="宋体" w:cstheme="minorBidi" w:hint="eastAsia"/>
          <w:b/>
          <w:bCs/>
        </w:rPr>
        <w:t>二、技术要求</w:t>
      </w:r>
      <w:r>
        <w:rPr>
          <w:rStyle w:val="Hyperlink"/>
        </w:rPr>
        <w:tab/>
      </w:r>
      <w:r>
        <w:fldChar w:fldCharType="begin"/>
      </w:r>
      <w:r>
        <w:rPr>
          <w:rStyle w:val="Hyperlink"/>
        </w:rPr>
        <w:instrText xml:space="preserve"> PAGEREF _Toc256000015 \h </w:instrText>
      </w:r>
      <w:r>
        <w:fldChar w:fldCharType="separate"/>
      </w:r>
      <w:r>
        <w:rPr>
          <w:rStyle w:val="Hyperlink"/>
        </w:rPr>
        <w:t>19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"_Toc256000016" </w:instrText>
      </w:r>
      <w:r>
        <w:fldChar w:fldCharType="separate"/>
      </w:r>
      <w:r>
        <w:rPr>
          <w:rStyle w:val="Hyperlink"/>
          <w:rFonts w:ascii="宋体" w:hAnsi="宋体" w:cs="宋体" w:hint="eastAsia"/>
          <w:b/>
          <w:bCs/>
        </w:rPr>
        <w:t>三、商务要求</w:t>
      </w:r>
      <w:r>
        <w:rPr>
          <w:rStyle w:val="Hyperlink"/>
        </w:rPr>
        <w:tab/>
      </w:r>
      <w:r>
        <w:fldChar w:fldCharType="begin"/>
      </w:r>
      <w:r>
        <w:rPr>
          <w:rStyle w:val="Hyperlink"/>
        </w:rPr>
        <w:instrText xml:space="preserve"> PAGEREF _Toc256000016 \h </w:instrText>
      </w:r>
      <w:r>
        <w:fldChar w:fldCharType="separate"/>
      </w:r>
      <w:r>
        <w:rPr>
          <w:rStyle w:val="Hyperlink"/>
        </w:rPr>
        <w:t>24</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"_Toc256000017" </w:instrText>
      </w:r>
      <w:r>
        <w:fldChar w:fldCharType="separate"/>
      </w:r>
      <w:r>
        <w:rPr>
          <w:rStyle w:val="Hyperlink"/>
          <w:rFonts w:hint="eastAsia"/>
        </w:rPr>
        <w:t>第三章 资格审查、评标和定标</w:t>
      </w:r>
      <w:r>
        <w:rPr>
          <w:rStyle w:val="Hyperlink"/>
        </w:rPr>
        <w:tab/>
      </w:r>
      <w:r>
        <w:fldChar w:fldCharType="begin"/>
      </w:r>
      <w:r>
        <w:rPr>
          <w:rStyle w:val="Hyperlink"/>
        </w:rPr>
        <w:instrText xml:space="preserve"> PAGEREF _Toc256000017 \h </w:instrText>
      </w:r>
      <w:r>
        <w:fldChar w:fldCharType="separate"/>
      </w:r>
      <w:r>
        <w:rPr>
          <w:rStyle w:val="Hyperlink"/>
        </w:rPr>
        <w:t>26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"_Toc256000018" </w:instrText>
      </w:r>
      <w:r>
        <w:fldChar w:fldCharType="separate"/>
      </w:r>
      <w:r>
        <w:rPr>
          <w:rStyle w:val="Hyperlink"/>
          <w:rFonts w:hint="eastAsia"/>
        </w:rPr>
        <w:t>前附表</w:t>
      </w:r>
      <w:r>
        <w:rPr>
          <w:rStyle w:val="Hyperlink"/>
        </w:rPr>
        <w:tab/>
      </w:r>
      <w:r>
        <w:fldChar w:fldCharType="begin"/>
      </w:r>
      <w:r>
        <w:rPr>
          <w:rStyle w:val="Hyperlink"/>
        </w:rPr>
        <w:instrText xml:space="preserve"> PAGEREF _Toc256000018 \h </w:instrText>
      </w:r>
      <w:r>
        <w:fldChar w:fldCharType="separate"/>
      </w:r>
      <w:r>
        <w:rPr>
          <w:rStyle w:val="Hyperlink"/>
        </w:rPr>
        <w:t>26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"_Toc256000019" </w:instrText>
      </w:r>
      <w:r>
        <w:fldChar w:fldCharType="separate"/>
      </w:r>
      <w:r>
        <w:rPr>
          <w:rStyle w:val="Hyperlink"/>
          <w:rFonts w:hint="eastAsia"/>
        </w:rPr>
        <w:t>1. 资格审查</w:t>
      </w:r>
      <w:r>
        <w:rPr>
          <w:rStyle w:val="Hyperlink"/>
        </w:rPr>
        <w:tab/>
      </w:r>
      <w:r>
        <w:fldChar w:fldCharType="begin"/>
      </w:r>
      <w:r>
        <w:rPr>
          <w:rStyle w:val="Hyperlink"/>
        </w:rPr>
        <w:instrText xml:space="preserve"> PAGEREF _Toc256000019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"_Toc256000020" </w:instrText>
      </w:r>
      <w:r>
        <w:fldChar w:fldCharType="separate"/>
      </w:r>
      <w:r>
        <w:rPr>
          <w:rStyle w:val="Hyperlink"/>
          <w:rFonts w:hint="eastAsia"/>
        </w:rPr>
        <w:t>1.1 资格审查的主体</w:t>
      </w:r>
      <w:r>
        <w:rPr>
          <w:rStyle w:val="Hyperlink"/>
        </w:rPr>
        <w:tab/>
      </w:r>
      <w:r>
        <w:fldChar w:fldCharType="begin"/>
      </w:r>
      <w:r>
        <w:rPr>
          <w:rStyle w:val="Hyperlink"/>
        </w:rPr>
        <w:instrText xml:space="preserve"> PAGEREF _Toc256000020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"_Toc256000021" </w:instrText>
      </w:r>
      <w:r>
        <w:fldChar w:fldCharType="separate"/>
      </w:r>
      <w:r>
        <w:rPr>
          <w:rStyle w:val="Hyperlink"/>
          <w:rFonts w:hint="eastAsia"/>
        </w:rPr>
        <w:t>1.2资格性审查</w:t>
      </w:r>
      <w:r>
        <w:rPr>
          <w:rStyle w:val="Hyperlink"/>
        </w:rPr>
        <w:tab/>
      </w:r>
      <w:r>
        <w:fldChar w:fldCharType="begin"/>
      </w:r>
      <w:r>
        <w:rPr>
          <w:rStyle w:val="Hyperlink"/>
        </w:rPr>
        <w:instrText xml:space="preserve"> PAGEREF _Toc256000021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"_Toc256000022" </w:instrText>
      </w:r>
      <w:r>
        <w:fldChar w:fldCharType="separate"/>
      </w:r>
      <w:r>
        <w:rPr>
          <w:rStyle w:val="Hyperlink"/>
          <w:rFonts w:hint="eastAsia"/>
        </w:rPr>
        <w:t>1.3合格投标人数量</w:t>
      </w:r>
      <w:r>
        <w:rPr>
          <w:rStyle w:val="Hyperlink"/>
        </w:rPr>
        <w:tab/>
      </w:r>
      <w:r>
        <w:fldChar w:fldCharType="begin"/>
      </w:r>
      <w:r>
        <w:rPr>
          <w:rStyle w:val="Hyperlink"/>
        </w:rPr>
        <w:instrText xml:space="preserve"> PAGEREF _Toc256000022 \h </w:instrText>
      </w:r>
      <w:r>
        <w:fldChar w:fldCharType="separate"/>
      </w:r>
      <w:r>
        <w:rPr>
          <w:rStyle w:val="Hyperlink"/>
        </w:rPr>
        <w:t>27</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"_Toc256000023" </w:instrText>
      </w:r>
      <w:r>
        <w:fldChar w:fldCharType="separate"/>
      </w:r>
      <w:r>
        <w:rPr>
          <w:rStyle w:val="Hyperlink"/>
          <w:rFonts w:hint="eastAsia"/>
        </w:rPr>
        <w:t>2. 符合性审查</w:t>
      </w:r>
      <w:r>
        <w:rPr>
          <w:rStyle w:val="Hyperlink"/>
        </w:rPr>
        <w:tab/>
      </w:r>
      <w:r>
        <w:fldChar w:fldCharType="begin"/>
      </w:r>
      <w:r>
        <w:rPr>
          <w:rStyle w:val="Hyperlink"/>
        </w:rPr>
        <w:instrText xml:space="preserve"> PAGEREF _Toc256000023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"_Toc256000024" </w:instrText>
      </w:r>
      <w:r>
        <w:fldChar w:fldCharType="separate"/>
      </w:r>
      <w:r>
        <w:rPr>
          <w:rStyle w:val="Hyperlink"/>
          <w:rFonts w:hint="eastAsia"/>
        </w:rPr>
        <w:t>2.1符合性审查的原则</w:t>
      </w:r>
      <w:r>
        <w:rPr>
          <w:rStyle w:val="Hyperlink"/>
        </w:rPr>
        <w:tab/>
      </w:r>
      <w:r>
        <w:fldChar w:fldCharType="begin"/>
      </w:r>
      <w:r>
        <w:rPr>
          <w:rStyle w:val="Hyperlink"/>
        </w:rPr>
        <w:instrText xml:space="preserve"> PAGEREF _Toc256000024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"_Toc256000025" </w:instrText>
      </w:r>
      <w:r>
        <w:fldChar w:fldCharType="separate"/>
      </w:r>
      <w:r>
        <w:rPr>
          <w:rStyle w:val="Hyperlink"/>
          <w:rFonts w:hint="eastAsia"/>
        </w:rPr>
        <w:t>2.2澄清</w:t>
      </w:r>
      <w:r>
        <w:rPr>
          <w:rStyle w:val="Hyperlink"/>
        </w:rPr>
        <w:t>、说明或者补正</w:t>
      </w:r>
      <w:r>
        <w:rPr>
          <w:rStyle w:val="Hyperlink"/>
        </w:rPr>
        <w:tab/>
      </w:r>
      <w:r>
        <w:fldChar w:fldCharType="begin"/>
      </w:r>
      <w:r>
        <w:rPr>
          <w:rStyle w:val="Hyperlink"/>
        </w:rPr>
        <w:instrText xml:space="preserve"> PAGEREF _Toc256000025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Fonts w:hint="eastAsia"/>
        </w:rPr>
        <w:t>2.3投标报价</w:t>
      </w:r>
      <w:r>
        <w:rPr>
          <w:rStyle w:val="Hyperlink"/>
          <w:rFonts w:hint="eastAsia"/>
        </w:rPr>
        <w:t>前后不一致</w:t>
      </w:r>
      <w:r>
        <w:rPr>
          <w:rStyle w:val="Hyperlink"/>
          <w:rFonts w:hint="eastAsia"/>
        </w:rPr>
        <w:t>的修正</w:t>
      </w:r>
      <w:r>
        <w:rPr>
          <w:rStyle w:val="Hyperlink"/>
        </w:rPr>
        <w:tab/>
      </w:r>
      <w:r>
        <w:fldChar w:fldCharType="begin"/>
      </w:r>
      <w:r>
        <w:rPr>
          <w:rStyle w:val="Hyperlink"/>
        </w:rPr>
        <w:instrText xml:space="preserve"> PAGEREF _Toc256000026 \h </w:instrText>
      </w:r>
      <w:r>
        <w:fldChar w:fldCharType="separate"/>
      </w:r>
      <w:r>
        <w:rPr>
          <w:rStyle w:val="Hyperlink"/>
        </w:rPr>
        <w:t>27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hint="eastAsia"/>
        </w:rPr>
        <w:t>2.4投标报价缺漏项的修正</w:t>
      </w:r>
      <w:r>
        <w:rPr>
          <w:rStyle w:val="Hyperlink"/>
        </w:rPr>
        <w:tab/>
      </w:r>
      <w:r>
        <w:fldChar w:fldCharType="begin"/>
      </w:r>
      <w:r>
        <w:rPr>
          <w:rStyle w:val="Hyperlink"/>
        </w:rPr>
        <w:instrText xml:space="preserve"> PAGEREF _Toc256000027 \h </w:instrText>
      </w:r>
      <w:r>
        <w:fldChar w:fldCharType="separate"/>
      </w:r>
      <w:r>
        <w:rPr>
          <w:rStyle w:val="Hyperlink"/>
        </w:rPr>
        <w:t>28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hint="eastAsia"/>
        </w:rPr>
        <w:t>2.5异常低价</w:t>
      </w:r>
      <w:r>
        <w:rPr>
          <w:rStyle w:val="Hyperlink"/>
        </w:rPr>
        <w:tab/>
      </w:r>
      <w:r>
        <w:fldChar w:fldCharType="begin"/>
      </w:r>
      <w:r>
        <w:rPr>
          <w:rStyle w:val="Hyperlink"/>
        </w:rPr>
        <w:instrText xml:space="preserve"> PAGEREF _Toc256000028 \h </w:instrText>
      </w:r>
      <w:r>
        <w:fldChar w:fldCharType="separate"/>
      </w:r>
      <w:r>
        <w:rPr>
          <w:rStyle w:val="Hyperlink"/>
        </w:rPr>
        <w:t>28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hint="eastAsia"/>
        </w:rPr>
        <w:t>2.6以下情形将导致投标无效</w:t>
      </w:r>
      <w:r>
        <w:rPr>
          <w:rStyle w:val="Hyperlink"/>
        </w:rPr>
        <w:tab/>
      </w:r>
      <w:r>
        <w:fldChar w:fldCharType="begin"/>
      </w:r>
      <w:r>
        <w:rPr>
          <w:rStyle w:val="Hyperlink"/>
        </w:rPr>
        <w:instrText xml:space="preserve"> PAGEREF _Toc256000029 \h </w:instrText>
      </w:r>
      <w:r>
        <w:fldChar w:fldCharType="separate"/>
      </w:r>
      <w:r>
        <w:rPr>
          <w:rStyle w:val="Hyperlink"/>
        </w:rPr>
        <w:t>28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hint="eastAsia"/>
        </w:rPr>
        <w:t>2.7符合性审查</w:t>
      </w:r>
      <w:r>
        <w:rPr>
          <w:rStyle w:val="Hyperlink"/>
        </w:rPr>
        <w:tab/>
      </w:r>
      <w:r>
        <w:fldChar w:fldCharType="begin"/>
      </w:r>
      <w:r>
        <w:rPr>
          <w:rStyle w:val="Hyperlink"/>
        </w:rPr>
        <w:instrText xml:space="preserve"> PAGEREF _Toc256000030 \h </w:instrText>
      </w:r>
      <w:r>
        <w:fldChar w:fldCharType="separate"/>
      </w:r>
      <w:r>
        <w:rPr>
          <w:rStyle w:val="Hyperlink"/>
        </w:rPr>
        <w:t>28</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hint="eastAsia"/>
        </w:rPr>
        <w:t>3. 比较与评价</w:t>
      </w:r>
      <w:r>
        <w:rPr>
          <w:rStyle w:val="Hyperlink"/>
        </w:rPr>
        <w:tab/>
      </w:r>
      <w:r>
        <w:fldChar w:fldCharType="begin"/>
      </w:r>
      <w:r>
        <w:rPr>
          <w:rStyle w:val="Hyperlink"/>
        </w:rPr>
        <w:instrText xml:space="preserve"> PAGEREF _Toc256000031 \h </w:instrText>
      </w:r>
      <w:r>
        <w:fldChar w:fldCharType="separate"/>
      </w:r>
      <w:r>
        <w:rPr>
          <w:rStyle w:val="Hyperlink"/>
        </w:rPr>
        <w:t>28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hint="eastAsia"/>
        </w:rPr>
        <w:t>3.1评审依据</w:t>
      </w:r>
      <w:r>
        <w:rPr>
          <w:rStyle w:val="Hyperlink"/>
        </w:rPr>
        <w:tab/>
      </w:r>
      <w:r>
        <w:fldChar w:fldCharType="begin"/>
      </w:r>
      <w:r>
        <w:rPr>
          <w:rStyle w:val="Hyperlink"/>
        </w:rPr>
        <w:instrText xml:space="preserve"> PAGEREF _Toc256000032 \h </w:instrText>
      </w:r>
      <w:r>
        <w:fldChar w:fldCharType="separate"/>
      </w:r>
      <w:r>
        <w:rPr>
          <w:rStyle w:val="Hyperlink"/>
        </w:rPr>
        <w:t>28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hint="eastAsia"/>
        </w:rPr>
        <w:t>3.2小型、微型企业评审中价格扣除</w:t>
      </w:r>
      <w:r>
        <w:rPr>
          <w:rStyle w:val="Hyperlink"/>
        </w:rPr>
        <w:tab/>
      </w:r>
      <w:r>
        <w:fldChar w:fldCharType="begin"/>
      </w:r>
      <w:r>
        <w:rPr>
          <w:rStyle w:val="Hyperlink"/>
        </w:rPr>
        <w:instrText xml:space="preserve"> PAGEREF _Toc256000033 \h </w:instrText>
      </w:r>
      <w:r>
        <w:fldChar w:fldCharType="separate"/>
      </w:r>
      <w:r>
        <w:rPr>
          <w:rStyle w:val="Hyperlink"/>
        </w:rPr>
        <w:t>28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hint="eastAsia"/>
        </w:rPr>
        <w:t>3.3其他政府采购政策</w:t>
      </w:r>
      <w:r>
        <w:rPr>
          <w:rStyle w:val="Hyperlink"/>
        </w:rPr>
        <w:tab/>
      </w:r>
      <w:r>
        <w:fldChar w:fldCharType="begin"/>
      </w:r>
      <w:r>
        <w:rPr>
          <w:rStyle w:val="Hyperlink"/>
        </w:rPr>
        <w:instrText xml:space="preserve"> PAGEREF _Toc256000034 \h </w:instrText>
      </w:r>
      <w:r>
        <w:fldChar w:fldCharType="separate"/>
      </w:r>
      <w:r>
        <w:rPr>
          <w:rStyle w:val="Hyperlink"/>
        </w:rPr>
        <w:t>29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hint="eastAsia"/>
        </w:rPr>
        <w:t>3.4不同投标人提供相同品牌产品</w:t>
      </w:r>
      <w:r>
        <w:rPr>
          <w:rStyle w:val="Hyperlink"/>
        </w:rPr>
        <w:tab/>
      </w:r>
      <w:r>
        <w:fldChar w:fldCharType="begin"/>
      </w:r>
      <w:r>
        <w:rPr>
          <w:rStyle w:val="Hyperlink"/>
        </w:rPr>
        <w:instrText xml:space="preserve"> PAGEREF _Toc256000035 \h </w:instrText>
      </w:r>
      <w:r>
        <w:fldChar w:fldCharType="separate"/>
      </w:r>
      <w:r>
        <w:rPr>
          <w:rStyle w:val="Hyperlink"/>
        </w:rPr>
        <w:t>29</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hint="eastAsia"/>
        </w:rPr>
        <w:t>4.评标方法</w:t>
      </w:r>
      <w:r>
        <w:rPr>
          <w:rStyle w:val="Hyperlink"/>
        </w:rPr>
        <w:tab/>
      </w:r>
      <w:r>
        <w:fldChar w:fldCharType="begin"/>
      </w:r>
      <w:r>
        <w:rPr>
          <w:rStyle w:val="Hyperlink"/>
        </w:rPr>
        <w:instrText xml:space="preserve"> PAGEREF _Toc256000036 \h </w:instrText>
      </w:r>
      <w:r>
        <w:fldChar w:fldCharType="separate"/>
      </w:r>
      <w:r>
        <w:rPr>
          <w:rStyle w:val="Hyperlink"/>
        </w:rPr>
        <w:t>29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hint="eastAsia"/>
        </w:rPr>
        <w:t>4.1 评标方法的分类</w:t>
      </w:r>
      <w:r>
        <w:rPr>
          <w:rStyle w:val="Hyperlink"/>
        </w:rPr>
        <w:tab/>
      </w:r>
      <w:r>
        <w:fldChar w:fldCharType="begin"/>
      </w:r>
      <w:r>
        <w:rPr>
          <w:rStyle w:val="Hyperlink"/>
        </w:rPr>
        <w:instrText xml:space="preserve"> PAGEREF _Toc256000037 \h </w:instrText>
      </w:r>
      <w:r>
        <w:fldChar w:fldCharType="separate"/>
      </w:r>
      <w:r>
        <w:rPr>
          <w:rStyle w:val="Hyperlink"/>
        </w:rPr>
        <w:t>29</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hint="eastAsia"/>
        </w:rPr>
        <w:t>5.综合评分</w:t>
      </w:r>
      <w:r>
        <w:rPr>
          <w:rStyle w:val="Hyperlink"/>
          <w:rFonts w:hint="eastAsia"/>
        </w:rPr>
        <w:t>法</w:t>
      </w:r>
      <w:r>
        <w:rPr>
          <w:rStyle w:val="Hyperlink"/>
        </w:rPr>
        <w:tab/>
      </w:r>
      <w:r>
        <w:fldChar w:fldCharType="begin"/>
      </w:r>
      <w:r>
        <w:rPr>
          <w:rStyle w:val="Hyperlink"/>
        </w:rPr>
        <w:instrText xml:space="preserve"> PAGEREF _Toc256000038 \h </w:instrText>
      </w:r>
      <w:r>
        <w:fldChar w:fldCharType="separate"/>
      </w:r>
      <w:r>
        <w:rPr>
          <w:rStyle w:val="Hyperlink"/>
        </w:rPr>
        <w:t>30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hint="eastAsia"/>
        </w:rPr>
        <w:t>5.1综合评分法的定义</w:t>
      </w:r>
      <w:r>
        <w:rPr>
          <w:rStyle w:val="Hyperlink"/>
        </w:rPr>
        <w:tab/>
      </w:r>
      <w:r>
        <w:fldChar w:fldCharType="begin"/>
      </w:r>
      <w:r>
        <w:rPr>
          <w:rStyle w:val="Hyperlink"/>
        </w:rPr>
        <w:instrText xml:space="preserve"> PAGEREF _Toc256000039 \h </w:instrText>
      </w:r>
      <w:r>
        <w:fldChar w:fldCharType="separate"/>
      </w:r>
      <w:r>
        <w:rPr>
          <w:rStyle w:val="Hyperlink"/>
        </w:rPr>
        <w:t>30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hint="eastAsia"/>
        </w:rPr>
        <w:t>5.2综合评分法的评审规则</w:t>
      </w:r>
      <w:r>
        <w:rPr>
          <w:rStyle w:val="Hyperlink"/>
        </w:rPr>
        <w:tab/>
      </w:r>
      <w:r>
        <w:fldChar w:fldCharType="begin"/>
      </w:r>
      <w:r>
        <w:rPr>
          <w:rStyle w:val="Hyperlink"/>
        </w:rPr>
        <w:instrText xml:space="preserve"> PAGEREF _Toc256000040 \h </w:instrText>
      </w:r>
      <w:r>
        <w:fldChar w:fldCharType="separate"/>
      </w:r>
      <w:r>
        <w:rPr>
          <w:rStyle w:val="Hyperlink"/>
        </w:rPr>
        <w:t>30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hint="eastAsia"/>
        </w:rPr>
        <w:t>5</w:t>
      </w:r>
      <w:r>
        <w:rPr>
          <w:rStyle w:val="Hyperlink"/>
        </w:rPr>
        <w:t>.</w:t>
      </w:r>
      <w:r>
        <w:rPr>
          <w:rStyle w:val="Hyperlink"/>
          <w:rFonts w:hint="eastAsia"/>
        </w:rPr>
        <w:t>3推荐中标候选人</w:t>
      </w:r>
      <w:r>
        <w:rPr>
          <w:rStyle w:val="Hyperlink"/>
        </w:rPr>
        <w:tab/>
      </w:r>
      <w:r>
        <w:fldChar w:fldCharType="begin"/>
      </w:r>
      <w:r>
        <w:rPr>
          <w:rStyle w:val="Hyperlink"/>
        </w:rPr>
        <w:instrText xml:space="preserve"> PAGEREF _Toc256000041 \h </w:instrText>
      </w:r>
      <w:r>
        <w:fldChar w:fldCharType="separate"/>
      </w:r>
      <w:r>
        <w:rPr>
          <w:rStyle w:val="Hyperlink"/>
        </w:rPr>
        <w:t>30</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hint="eastAsia"/>
        </w:rPr>
        <w:t>6.定性评审法</w:t>
      </w:r>
      <w:r>
        <w:rPr>
          <w:rStyle w:val="Hyperlink"/>
        </w:rPr>
        <w:tab/>
      </w:r>
      <w:r>
        <w:fldChar w:fldCharType="begin"/>
      </w:r>
      <w:r>
        <w:rPr>
          <w:rStyle w:val="Hyperlink"/>
        </w:rPr>
        <w:instrText xml:space="preserve"> PAGEREF _Toc256000042 \h </w:instrText>
      </w:r>
      <w:r>
        <w:fldChar w:fldCharType="separate"/>
      </w:r>
      <w:r>
        <w:rPr>
          <w:rStyle w:val="Hyperlink"/>
        </w:rPr>
        <w:t>30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hint="eastAsia"/>
        </w:rPr>
        <w:t>6.1定性评审法的定义</w:t>
      </w:r>
      <w:r>
        <w:rPr>
          <w:rStyle w:val="Hyperlink"/>
        </w:rPr>
        <w:tab/>
      </w:r>
      <w:r>
        <w:fldChar w:fldCharType="begin"/>
      </w:r>
      <w:r>
        <w:rPr>
          <w:rStyle w:val="Hyperlink"/>
        </w:rPr>
        <w:instrText xml:space="preserve"> PAGEREF _Toc256000043 \h </w:instrText>
      </w:r>
      <w:r>
        <w:fldChar w:fldCharType="separate"/>
      </w:r>
      <w:r>
        <w:rPr>
          <w:rStyle w:val="Hyperlink"/>
        </w:rPr>
        <w:t>30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hint="eastAsia"/>
        </w:rPr>
        <w:t>6.2定性评审的对象和方法</w:t>
      </w:r>
      <w:r>
        <w:rPr>
          <w:rStyle w:val="Hyperlink"/>
        </w:rPr>
        <w:tab/>
      </w:r>
      <w:r>
        <w:fldChar w:fldCharType="begin"/>
      </w:r>
      <w:r>
        <w:rPr>
          <w:rStyle w:val="Hyperlink"/>
        </w:rPr>
        <w:instrText xml:space="preserve"> PAGEREF _Toc256000044 \h </w:instrText>
      </w:r>
      <w:r>
        <w:fldChar w:fldCharType="separate"/>
      </w:r>
      <w:r>
        <w:rPr>
          <w:rStyle w:val="Hyperlink"/>
        </w:rPr>
        <w:t>30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hint="eastAsia"/>
        </w:rPr>
        <w:t>6.3推荐中标候选人</w:t>
      </w:r>
      <w:r>
        <w:rPr>
          <w:rStyle w:val="Hyperlink"/>
        </w:rPr>
        <w:tab/>
      </w:r>
      <w:r>
        <w:fldChar w:fldCharType="begin"/>
      </w:r>
      <w:r>
        <w:rPr>
          <w:rStyle w:val="Hyperlink"/>
        </w:rPr>
        <w:instrText xml:space="preserve"> PAGEREF _Toc256000045 \h </w:instrText>
      </w:r>
      <w:r>
        <w:fldChar w:fldCharType="separate"/>
      </w:r>
      <w:r>
        <w:rPr>
          <w:rStyle w:val="Hyperlink"/>
        </w:rPr>
        <w:t>31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hint="eastAsia"/>
        </w:rPr>
        <w:t>7.最低价法</w:t>
      </w:r>
      <w:r>
        <w:rPr>
          <w:rStyle w:val="Hyperlink"/>
        </w:rPr>
        <w:tab/>
      </w:r>
      <w:r>
        <w:fldChar w:fldCharType="begin"/>
      </w:r>
      <w:r>
        <w:rPr>
          <w:rStyle w:val="Hyperlink"/>
        </w:rPr>
        <w:instrText xml:space="preserve"> PAGEREF _Toc256000046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hint="eastAsia"/>
        </w:rPr>
        <w:t>7.1最低价法的定义</w:t>
      </w:r>
      <w:r>
        <w:rPr>
          <w:rStyle w:val="Hyperlink"/>
        </w:rPr>
        <w:tab/>
      </w:r>
      <w:r>
        <w:fldChar w:fldCharType="begin"/>
      </w:r>
      <w:r>
        <w:rPr>
          <w:rStyle w:val="Hyperlink"/>
        </w:rPr>
        <w:instrText xml:space="preserve"> PAGEREF _Toc256000047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hint="eastAsia"/>
        </w:rPr>
        <w:t>7.2最低价法的评审规则</w:t>
      </w:r>
      <w:r>
        <w:rPr>
          <w:rStyle w:val="Hyperlink"/>
        </w:rPr>
        <w:tab/>
      </w:r>
      <w:r>
        <w:fldChar w:fldCharType="begin"/>
      </w:r>
      <w:r>
        <w:rPr>
          <w:rStyle w:val="Hyperlink"/>
        </w:rPr>
        <w:instrText xml:space="preserve"> PAGEREF _Toc256000048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hint="eastAsia"/>
        </w:rPr>
        <w:t>7.3推荐中标候选人</w:t>
      </w:r>
      <w:r>
        <w:rPr>
          <w:rStyle w:val="Hyperlink"/>
        </w:rPr>
        <w:tab/>
      </w:r>
      <w:r>
        <w:fldChar w:fldCharType="begin"/>
      </w:r>
      <w:r>
        <w:rPr>
          <w:rStyle w:val="Hyperlink"/>
        </w:rPr>
        <w:instrText xml:space="preserve"> PAGEREF _Toc256000049 \h </w:instrText>
      </w:r>
      <w:r>
        <w:fldChar w:fldCharType="separate"/>
      </w:r>
      <w:r>
        <w:rPr>
          <w:rStyle w:val="Hyperlink"/>
        </w:rPr>
        <w:t>31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hint="eastAsia"/>
        </w:rPr>
        <w:t>8.编写评标报告</w:t>
      </w:r>
      <w:r>
        <w:rPr>
          <w:rStyle w:val="Hyperlink"/>
        </w:rPr>
        <w:tab/>
      </w:r>
      <w:r>
        <w:fldChar w:fldCharType="begin"/>
      </w:r>
      <w:r>
        <w:rPr>
          <w:rStyle w:val="Hyperlink"/>
        </w:rPr>
        <w:instrText xml:space="preserve"> PAGEREF _Toc256000050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hint="eastAsia"/>
        </w:rPr>
        <w:t>8.1评标报告内容</w:t>
      </w:r>
      <w:r>
        <w:rPr>
          <w:rStyle w:val="Hyperlink"/>
        </w:rPr>
        <w:tab/>
      </w:r>
      <w:r>
        <w:fldChar w:fldCharType="begin"/>
      </w:r>
      <w:r>
        <w:rPr>
          <w:rStyle w:val="Hyperlink"/>
        </w:rPr>
        <w:instrText xml:space="preserve"> PAGEREF _Toc256000051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"_Toc256000052" </w:instrText>
      </w:r>
      <w:r>
        <w:fldChar w:fldCharType="separate"/>
      </w:r>
      <w:r>
        <w:rPr>
          <w:rStyle w:val="Hyperlink"/>
          <w:rFonts w:hint="eastAsia"/>
        </w:rPr>
        <w:t>8.2评标委员会成员争议事项的认定</w:t>
      </w:r>
      <w:r>
        <w:rPr>
          <w:rStyle w:val="Hyperlink"/>
        </w:rPr>
        <w:tab/>
      </w:r>
      <w:r>
        <w:fldChar w:fldCharType="begin"/>
      </w:r>
      <w:r>
        <w:rPr>
          <w:rStyle w:val="Hyperlink"/>
        </w:rPr>
        <w:instrText xml:space="preserve"> PAGEREF _Toc256000052 \h </w:instrText>
      </w:r>
      <w:r>
        <w:fldChar w:fldCharType="separate"/>
      </w:r>
      <w:r>
        <w:rPr>
          <w:rStyle w:val="Hyperlink"/>
        </w:rPr>
        <w:t>31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"_Toc256000053" </w:instrText>
      </w:r>
      <w:r>
        <w:fldChar w:fldCharType="separate"/>
      </w:r>
      <w:r>
        <w:rPr>
          <w:rStyle w:val="Hyperlink"/>
          <w:rFonts w:hint="eastAsia"/>
        </w:rPr>
        <w:t>9.确定中标人</w:t>
      </w:r>
      <w:r>
        <w:rPr>
          <w:rStyle w:val="Hyperlink"/>
        </w:rPr>
        <w:tab/>
      </w:r>
      <w:r>
        <w:fldChar w:fldCharType="begin"/>
      </w:r>
      <w:r>
        <w:rPr>
          <w:rStyle w:val="Hyperlink"/>
        </w:rPr>
        <w:instrText xml:space="preserve"> PAGEREF _Toc256000053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"_Toc256000054" </w:instrText>
      </w:r>
      <w:r>
        <w:fldChar w:fldCharType="separate"/>
      </w:r>
      <w:r>
        <w:rPr>
          <w:rStyle w:val="Hyperlink"/>
          <w:rFonts w:hint="eastAsia"/>
        </w:rPr>
        <w:t>9.1中标人及中标候选人的数量</w:t>
      </w:r>
      <w:r>
        <w:rPr>
          <w:rStyle w:val="Hyperlink"/>
        </w:rPr>
        <w:tab/>
      </w:r>
      <w:r>
        <w:fldChar w:fldCharType="begin"/>
      </w:r>
      <w:r>
        <w:rPr>
          <w:rStyle w:val="Hyperlink"/>
        </w:rPr>
        <w:instrText xml:space="preserve"> PAGEREF _Toc256000054 \h </w:instrText>
      </w:r>
      <w:r>
        <w:fldChar w:fldCharType="separate"/>
      </w:r>
      <w:r>
        <w:rPr>
          <w:rStyle w:val="Hyperlink"/>
        </w:rPr>
        <w:t>31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"_Toc256000055" </w:instrText>
      </w:r>
      <w:r>
        <w:fldChar w:fldCharType="separate"/>
      </w:r>
      <w:r>
        <w:rPr>
          <w:rStyle w:val="Hyperlink"/>
          <w:rFonts w:hint="eastAsia"/>
        </w:rPr>
        <w:t>9.2是否评标定标分离</w:t>
      </w:r>
      <w:r>
        <w:rPr>
          <w:rStyle w:val="Hyperlink"/>
        </w:rPr>
        <w:tab/>
      </w:r>
      <w:r>
        <w:fldChar w:fldCharType="begin"/>
      </w:r>
      <w:r>
        <w:rPr>
          <w:rStyle w:val="Hyperlink"/>
        </w:rPr>
        <w:instrText xml:space="preserve"> PAGEREF _Toc256000055 \h </w:instrText>
      </w:r>
      <w:r>
        <w:fldChar w:fldCharType="separate"/>
      </w:r>
      <w:r>
        <w:rPr>
          <w:rStyle w:val="Hyperlink"/>
        </w:rPr>
        <w:t>32</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"_Toc256000056" </w:instrText>
      </w:r>
      <w:r>
        <w:fldChar w:fldCharType="separate"/>
      </w:r>
      <w:r>
        <w:rPr>
          <w:rStyle w:val="Hyperlink"/>
          <w:rFonts w:hint="eastAsia"/>
        </w:rPr>
        <w:t>9.3不适用评定分离时的定标方法</w:t>
      </w:r>
      <w:r>
        <w:rPr>
          <w:rStyle w:val="Hyperlink"/>
        </w:rPr>
        <w:tab/>
      </w:r>
      <w:r>
        <w:fldChar w:fldCharType="begin"/>
      </w:r>
      <w:r>
        <w:rPr>
          <w:rStyle w:val="Hyperlink"/>
        </w:rPr>
        <w:instrText xml:space="preserve"> PAGEREF _Toc256000056 \h </w:instrText>
      </w:r>
      <w:r>
        <w:fldChar w:fldCharType="separate"/>
      </w:r>
      <w:r>
        <w:rPr>
          <w:rStyle w:val="Hyperlink"/>
        </w:rPr>
        <w:t>32</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"_Toc256000057" </w:instrText>
      </w:r>
      <w:r>
        <w:fldChar w:fldCharType="separate"/>
      </w:r>
      <w:r>
        <w:rPr>
          <w:rStyle w:val="Hyperlink"/>
          <w:rFonts w:hint="eastAsia"/>
        </w:rPr>
        <w:t>9.4评定分离时的定标方法</w:t>
      </w:r>
      <w:r>
        <w:rPr>
          <w:rStyle w:val="Hyperlink"/>
        </w:rPr>
        <w:tab/>
      </w:r>
      <w:r>
        <w:fldChar w:fldCharType="begin"/>
      </w:r>
      <w:r>
        <w:rPr>
          <w:rStyle w:val="Hyperlink"/>
        </w:rPr>
        <w:instrText xml:space="preserve"> PAGEREF _Toc256000057 \h </w:instrText>
      </w:r>
      <w:r>
        <w:fldChar w:fldCharType="separate"/>
      </w:r>
      <w:r>
        <w:rPr>
          <w:rStyle w:val="Hyperlink"/>
        </w:rPr>
        <w:t>32</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"_Toc256000058" </w:instrText>
      </w:r>
      <w:r>
        <w:fldChar w:fldCharType="separate"/>
      </w:r>
      <w:r>
        <w:rPr>
          <w:rStyle w:val="Hyperlink"/>
          <w:rFonts w:hint="eastAsia"/>
        </w:rPr>
        <w:t>第四章 投标资料表</w:t>
      </w:r>
      <w:r>
        <w:rPr>
          <w:rStyle w:val="Hyperlink"/>
        </w:rPr>
        <w:tab/>
      </w:r>
      <w:r>
        <w:fldChar w:fldCharType="begin"/>
      </w:r>
      <w:r>
        <w:rPr>
          <w:rStyle w:val="Hyperlink"/>
        </w:rPr>
        <w:instrText xml:space="preserve"> PAGEREF _Toc256000058 \h </w:instrText>
      </w:r>
      <w:r>
        <w:fldChar w:fldCharType="separate"/>
      </w:r>
      <w:r>
        <w:rPr>
          <w:rStyle w:val="Hyperlink"/>
        </w:rPr>
        <w:t>33</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"_Toc256000059" </w:instrText>
      </w:r>
      <w:r>
        <w:fldChar w:fldCharType="separate"/>
      </w:r>
      <w:r>
        <w:rPr>
          <w:rStyle w:val="Hyperlink"/>
          <w:rFonts w:hint="eastAsia"/>
        </w:rPr>
        <w:t>第五章 投标文件格式</w:t>
      </w:r>
      <w:r>
        <w:rPr>
          <w:rStyle w:val="Hyperlink"/>
        </w:rPr>
        <w:tab/>
      </w:r>
      <w:r>
        <w:fldChar w:fldCharType="begin"/>
      </w:r>
      <w:r>
        <w:rPr>
          <w:rStyle w:val="Hyperlink"/>
        </w:rPr>
        <w:instrText xml:space="preserve"> PAGEREF _Toc256000059 \h </w:instrText>
      </w:r>
      <w:r>
        <w:fldChar w:fldCharType="separate"/>
      </w:r>
      <w:r>
        <w:rPr>
          <w:rStyle w:val="Hyperlink"/>
        </w:rPr>
        <w:t>37</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"_Toc256000060" </w:instrText>
      </w:r>
      <w:r>
        <w:fldChar w:fldCharType="separate"/>
      </w:r>
      <w:r>
        <w:rPr>
          <w:rStyle w:val="Hyperlink"/>
          <w:rFonts w:hint="eastAsia"/>
        </w:rPr>
        <w:t>投标文件编制说明</w:t>
      </w:r>
      <w:r>
        <w:rPr>
          <w:rStyle w:val="Hyperlink"/>
        </w:rPr>
        <w:tab/>
      </w:r>
      <w:r>
        <w:fldChar w:fldCharType="begin"/>
      </w:r>
      <w:r>
        <w:rPr>
          <w:rStyle w:val="Hyperlink"/>
        </w:rPr>
        <w:instrText xml:space="preserve"> PAGEREF _Toc256000060 \h </w:instrText>
      </w:r>
      <w:r>
        <w:fldChar w:fldCharType="separate"/>
      </w:r>
      <w:r>
        <w:rPr>
          <w:rStyle w:val="Hyperlink"/>
        </w:rPr>
        <w:t>37</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"_Toc256000061" </w:instrText>
      </w:r>
      <w:r>
        <w:fldChar w:fldCharType="separate"/>
      </w:r>
      <w:r>
        <w:rPr>
          <w:rStyle w:val="Hyperlink"/>
        </w:rPr>
        <w:t>格式1：投标函</w:t>
      </w:r>
      <w:r>
        <w:rPr>
          <w:rStyle w:val="Hyperlink"/>
        </w:rPr>
        <w:tab/>
      </w:r>
      <w:r>
        <w:fldChar w:fldCharType="begin"/>
      </w:r>
      <w:r>
        <w:rPr>
          <w:rStyle w:val="Hyperlink"/>
        </w:rPr>
        <w:instrText xml:space="preserve"> PAGEREF _Toc256000061 \h </w:instrText>
      </w:r>
      <w:r>
        <w:fldChar w:fldCharType="separate"/>
      </w:r>
      <w:r>
        <w:rPr>
          <w:rStyle w:val="Hyperlink"/>
        </w:rPr>
        <w:t>38</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"_Toc256000062" </w:instrText>
      </w:r>
      <w:r>
        <w:fldChar w:fldCharType="separate"/>
      </w:r>
      <w:r>
        <w:rPr>
          <w:rStyle w:val="Hyperlink"/>
        </w:rPr>
        <w:t>格式</w:t>
      </w:r>
      <w:r>
        <w:rPr>
          <w:rStyle w:val="Hyperlink"/>
          <w:rFonts w:hint="eastAsia"/>
        </w:rPr>
        <w:t>2</w:t>
      </w:r>
      <w:r>
        <w:rPr>
          <w:rStyle w:val="Hyperlink"/>
        </w:rPr>
        <w:t>：</w:t>
      </w:r>
      <w:r>
        <w:rPr>
          <w:rStyle w:val="Hyperlink"/>
          <w:rFonts w:hint="eastAsia"/>
        </w:rPr>
        <w:t>法定代表人（负责人）证明书</w:t>
      </w:r>
      <w:r>
        <w:rPr>
          <w:rStyle w:val="Hyperlink"/>
        </w:rPr>
        <w:tab/>
      </w:r>
      <w:r>
        <w:fldChar w:fldCharType="begin"/>
      </w:r>
      <w:r>
        <w:rPr>
          <w:rStyle w:val="Hyperlink"/>
        </w:rPr>
        <w:instrText xml:space="preserve"> PAGEREF _Toc256000062 \h </w:instrText>
      </w:r>
      <w:r>
        <w:fldChar w:fldCharType="separate"/>
      </w:r>
      <w:r>
        <w:rPr>
          <w:rStyle w:val="Hyperlink"/>
        </w:rPr>
        <w:t>40</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"_Toc256000063" </w:instrText>
      </w:r>
      <w:r>
        <w:fldChar w:fldCharType="separate"/>
      </w:r>
      <w:r>
        <w:rPr>
          <w:rStyle w:val="Hyperlink"/>
        </w:rPr>
        <w:t>格式</w:t>
      </w:r>
      <w:r>
        <w:rPr>
          <w:rStyle w:val="Hyperlink"/>
          <w:rFonts w:hint="eastAsia"/>
        </w:rPr>
        <w:t>3</w:t>
      </w:r>
      <w:r>
        <w:rPr>
          <w:rStyle w:val="Hyperlink"/>
        </w:rPr>
        <w:t>：</w:t>
      </w:r>
      <w:r>
        <w:rPr>
          <w:rStyle w:val="Hyperlink"/>
          <w:rFonts w:hint="eastAsia"/>
        </w:rPr>
        <w:t>投标文件签署授权委托书</w:t>
      </w:r>
      <w:r>
        <w:rPr>
          <w:rStyle w:val="Hyperlink"/>
        </w:rPr>
        <w:tab/>
      </w:r>
      <w:r>
        <w:fldChar w:fldCharType="begin"/>
      </w:r>
      <w:r>
        <w:rPr>
          <w:rStyle w:val="Hyperlink"/>
        </w:rPr>
        <w:instrText xml:space="preserve"> PAGEREF _Toc256000063 \h </w:instrText>
      </w:r>
      <w:r>
        <w:fldChar w:fldCharType="separate"/>
      </w:r>
      <w:r>
        <w:rPr>
          <w:rStyle w:val="Hyperlink"/>
        </w:rPr>
        <w:t>41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"_Toc256000064" </w:instrText>
      </w:r>
      <w:r>
        <w:fldChar w:fldCharType="separate"/>
      </w:r>
      <w:r>
        <w:rPr>
          <w:rStyle w:val="Hyperlink"/>
          <w:rFonts w:hint="eastAsia"/>
        </w:rPr>
        <w:t>格式4：法人或者其他组织的营业执照等证明文件</w:t>
      </w:r>
      <w:r>
        <w:rPr>
          <w:rStyle w:val="Hyperlink"/>
        </w:rPr>
        <w:tab/>
      </w:r>
      <w:r>
        <w:fldChar w:fldCharType="begin"/>
      </w:r>
      <w:r>
        <w:rPr>
          <w:rStyle w:val="Hyperlink"/>
        </w:rPr>
        <w:instrText xml:space="preserve"> PAGEREF _Toc256000064 \h </w:instrText>
      </w:r>
      <w:r>
        <w:fldChar w:fldCharType="separate"/>
      </w:r>
      <w:r>
        <w:rPr>
          <w:rStyle w:val="Hyperlink"/>
        </w:rPr>
        <w:t>41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"_Toc256000065" </w:instrText>
      </w:r>
      <w:r>
        <w:fldChar w:fldCharType="separate"/>
      </w:r>
      <w:r>
        <w:rPr>
          <w:rStyle w:val="Hyperlink"/>
        </w:rPr>
        <w:t>格式</w:t>
      </w:r>
      <w:r>
        <w:rPr>
          <w:rStyle w:val="Hyperlink"/>
          <w:rFonts w:hint="eastAsia"/>
        </w:rPr>
        <w:t>5</w:t>
      </w:r>
      <w:r>
        <w:rPr>
          <w:rStyle w:val="Hyperlink"/>
        </w:rPr>
        <w:t>：</w:t>
      </w:r>
      <w:r>
        <w:rPr>
          <w:rStyle w:val="Hyperlink"/>
          <w:rFonts w:hint="eastAsia"/>
        </w:rPr>
        <w:t>政府采购投标及履约承诺函</w:t>
      </w:r>
      <w:r>
        <w:rPr>
          <w:rStyle w:val="Hyperlink"/>
        </w:rPr>
        <w:tab/>
      </w:r>
      <w:r>
        <w:fldChar w:fldCharType="begin"/>
      </w:r>
      <w:r>
        <w:rPr>
          <w:rStyle w:val="Hyperlink"/>
        </w:rPr>
        <w:instrText xml:space="preserve"> PAGEREF _Toc256000065 \h </w:instrText>
      </w:r>
      <w:r>
        <w:fldChar w:fldCharType="separate"/>
      </w:r>
      <w:r>
        <w:rPr>
          <w:rStyle w:val="Hyperlink"/>
        </w:rPr>
        <w:t>43</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"_Toc256000066" </w:instrText>
      </w:r>
      <w:r>
        <w:fldChar w:fldCharType="separate"/>
      </w:r>
      <w:r>
        <w:rPr>
          <w:rStyle w:val="Hyperlink"/>
          <w:rFonts w:hint="eastAsia"/>
        </w:rPr>
        <w:t>格式</w:t>
      </w:r>
      <w:r>
        <w:rPr>
          <w:rStyle w:val="Hyperlink"/>
          <w:rFonts w:hint="eastAsia"/>
        </w:rPr>
        <w:t>6</w:t>
      </w:r>
      <w:r>
        <w:rPr>
          <w:rStyle w:val="Hyperlink"/>
          <w:rFonts w:hint="eastAsia"/>
        </w:rPr>
        <w:t>：供应商基本情况表</w:t>
      </w:r>
      <w:r>
        <w:rPr>
          <w:rStyle w:val="Hyperlink"/>
        </w:rPr>
        <w:tab/>
      </w:r>
      <w:r>
        <w:fldChar w:fldCharType="begin"/>
      </w:r>
      <w:r>
        <w:rPr>
          <w:rStyle w:val="Hyperlink"/>
        </w:rPr>
        <w:instrText xml:space="preserve"> PAGEREF _Toc256000066 \h </w:instrText>
      </w:r>
      <w:r>
        <w:fldChar w:fldCharType="separate"/>
      </w:r>
      <w:r>
        <w:rPr>
          <w:rStyle w:val="Hyperlink"/>
        </w:rPr>
        <w:t>44</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"_Toc256000067" </w:instrText>
      </w:r>
      <w:r>
        <w:fldChar w:fldCharType="separate"/>
      </w:r>
      <w:r>
        <w:rPr>
          <w:rStyle w:val="Hyperlink"/>
        </w:rPr>
        <w:t>格式</w:t>
      </w:r>
      <w:r>
        <w:rPr>
          <w:rStyle w:val="Hyperlink"/>
          <w:rFonts w:hint="eastAsia"/>
        </w:rPr>
        <w:t>7</w:t>
      </w:r>
      <w:r>
        <w:rPr>
          <w:rStyle w:val="Hyperlink"/>
        </w:rPr>
        <w:t>：开标一览表</w:t>
      </w:r>
      <w:r>
        <w:rPr>
          <w:rStyle w:val="Hyperlink"/>
        </w:rPr>
        <w:tab/>
      </w:r>
      <w:r>
        <w:fldChar w:fldCharType="begin"/>
      </w:r>
      <w:r>
        <w:rPr>
          <w:rStyle w:val="Hyperlink"/>
        </w:rPr>
        <w:instrText xml:space="preserve"> PAGEREF _Toc256000067 \h </w:instrText>
      </w:r>
      <w:r>
        <w:fldChar w:fldCharType="separate"/>
      </w:r>
      <w:r>
        <w:rPr>
          <w:rStyle w:val="Hyperlink"/>
        </w:rPr>
        <w:t>46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"_Toc256000068" </w:instrText>
      </w:r>
      <w:r>
        <w:fldChar w:fldCharType="separate"/>
      </w:r>
      <w:r>
        <w:rPr>
          <w:rStyle w:val="Hyperlink"/>
        </w:rPr>
        <w:t>格式</w:t>
      </w:r>
      <w:r>
        <w:rPr>
          <w:rStyle w:val="Hyperlink"/>
          <w:rFonts w:hint="eastAsia"/>
        </w:rPr>
        <w:t>8</w:t>
      </w:r>
      <w:r>
        <w:rPr>
          <w:rStyle w:val="Hyperlink"/>
        </w:rPr>
        <w:t>：投标分项报价表</w:t>
      </w:r>
      <w:r>
        <w:rPr>
          <w:rStyle w:val="Hyperlink"/>
        </w:rPr>
        <w:tab/>
      </w:r>
      <w:r>
        <w:fldChar w:fldCharType="begin"/>
      </w:r>
      <w:r>
        <w:rPr>
          <w:rStyle w:val="Hyperlink"/>
        </w:rPr>
        <w:instrText xml:space="preserve"> PAGEREF _Toc256000068 \h </w:instrText>
      </w:r>
      <w:r>
        <w:fldChar w:fldCharType="separate"/>
      </w:r>
      <w:r>
        <w:rPr>
          <w:rStyle w:val="Hyperlink"/>
        </w:rPr>
        <w:t>47</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"_Toc256000069" </w:instrText>
      </w:r>
      <w:r>
        <w:fldChar w:fldCharType="separate"/>
      </w:r>
      <w:r>
        <w:rPr>
          <w:rStyle w:val="Hyperlink"/>
          <w:rFonts w:ascii="黑体" w:eastAsia="黑体" w:hAnsi="黑体" w:cs="黑体" w:hint="eastAsia"/>
          <w:b/>
          <w:bCs/>
        </w:rPr>
        <w:t>格式9：</w:t>
      </w:r>
      <w:r>
        <w:rPr>
          <w:rStyle w:val="Hyperlink"/>
          <w:rFonts w:ascii="黑体" w:eastAsia="黑体" w:hAnsi="黑体" w:cs="黑体" w:hint="eastAsia"/>
          <w:b/>
          <w:bCs/>
        </w:rPr>
        <w:t>技术和商务要求偏差表</w:t>
      </w:r>
      <w:r>
        <w:rPr>
          <w:rStyle w:val="Hyperlink"/>
        </w:rPr>
        <w:tab/>
      </w:r>
      <w:r>
        <w:fldChar w:fldCharType="begin"/>
      </w:r>
      <w:r>
        <w:rPr>
          <w:rStyle w:val="Hyperlink"/>
        </w:rPr>
        <w:instrText xml:space="preserve"> PAGEREF _Toc256000069 \h </w:instrText>
      </w:r>
      <w:r>
        <w:fldChar w:fldCharType="separate"/>
      </w:r>
      <w:r>
        <w:rPr>
          <w:rStyle w:val="Hyperlink"/>
        </w:rPr>
        <w:t>48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"_Toc256000070" </w:instrText>
      </w:r>
      <w:r>
        <w:fldChar w:fldCharType="separate"/>
      </w:r>
      <w:r>
        <w:rPr>
          <w:rStyle w:val="Hyperlink"/>
          <w:rFonts w:ascii="黑体" w:eastAsia="黑体" w:hAnsi="黑体" w:cs="黑体" w:hint="eastAsia"/>
          <w:b/>
          <w:bCs/>
        </w:rPr>
        <w:t>（一）实质性条款响应表</w:t>
      </w:r>
      <w:r>
        <w:rPr>
          <w:rStyle w:val="Hyperlink"/>
        </w:rPr>
        <w:tab/>
      </w:r>
      <w:r>
        <w:fldChar w:fldCharType="begin"/>
      </w:r>
      <w:r>
        <w:rPr>
          <w:rStyle w:val="Hyperlink"/>
        </w:rPr>
        <w:instrText xml:space="preserve"> PAGEREF _Toc256000070 \h </w:instrText>
      </w:r>
      <w:r>
        <w:fldChar w:fldCharType="separate"/>
      </w:r>
      <w:r>
        <w:rPr>
          <w:rStyle w:val="Hyperlink"/>
        </w:rPr>
        <w:t>48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"_Toc256000071" </w:instrText>
      </w:r>
      <w:r>
        <w:fldChar w:fldCharType="separate"/>
      </w:r>
      <w:r>
        <w:rPr>
          <w:rStyle w:val="Hyperlink"/>
          <w:rFonts w:ascii="黑体" w:eastAsia="黑体" w:hAnsi="黑体" w:cs="黑体" w:hint="eastAsia"/>
          <w:b/>
          <w:bCs/>
        </w:rPr>
        <w:t>（二）技术要求偏差表</w:t>
      </w:r>
      <w:r>
        <w:rPr>
          <w:rStyle w:val="Hyperlink"/>
        </w:rPr>
        <w:tab/>
      </w:r>
      <w:r>
        <w:fldChar w:fldCharType="begin"/>
      </w:r>
      <w:r>
        <w:rPr>
          <w:rStyle w:val="Hyperlink"/>
        </w:rPr>
        <w:instrText xml:space="preserve"> PAGEREF _Toc256000071 \h </w:instrText>
      </w:r>
      <w:r>
        <w:fldChar w:fldCharType="separate"/>
      </w:r>
      <w:r>
        <w:rPr>
          <w:rStyle w:val="Hyperlink"/>
        </w:rPr>
        <w:t>49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"_Toc256000072" </w:instrText>
      </w:r>
      <w:r>
        <w:fldChar w:fldCharType="separate"/>
      </w:r>
      <w:r>
        <w:rPr>
          <w:rStyle w:val="Hyperlink"/>
          <w:rFonts w:ascii="黑体" w:eastAsia="黑体" w:hAnsi="黑体" w:cs="黑体" w:hint="eastAsia"/>
          <w:b/>
          <w:bCs/>
        </w:rPr>
        <w:t>（三）商务要求偏差表</w:t>
      </w:r>
      <w:r>
        <w:rPr>
          <w:rStyle w:val="Hyperlink"/>
        </w:rPr>
        <w:tab/>
      </w:r>
      <w:r>
        <w:fldChar w:fldCharType="begin"/>
      </w:r>
      <w:r>
        <w:rPr>
          <w:rStyle w:val="Hyperlink"/>
        </w:rPr>
        <w:instrText xml:space="preserve"> PAGEREF _Toc256000072 \h </w:instrText>
      </w:r>
      <w:r>
        <w:fldChar w:fldCharType="separate"/>
      </w:r>
      <w:r>
        <w:rPr>
          <w:rStyle w:val="Hyperlink"/>
        </w:rPr>
        <w:t>50</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"_Toc256000073" </w:instrText>
      </w:r>
      <w:r>
        <w:fldChar w:fldCharType="separate"/>
      </w:r>
      <w:r>
        <w:rPr>
          <w:rStyle w:val="Hyperlink"/>
        </w:rPr>
        <w:t>格式</w:t>
      </w:r>
      <w:r>
        <w:rPr>
          <w:rStyle w:val="Hyperlink"/>
          <w:rFonts w:hint="eastAsia"/>
        </w:rPr>
        <w:t>10</w:t>
      </w:r>
      <w:r>
        <w:rPr>
          <w:rStyle w:val="Hyperlink"/>
        </w:rPr>
        <w:t>：</w:t>
      </w:r>
      <w:r>
        <w:rPr>
          <w:rStyle w:val="Hyperlink"/>
          <w:rFonts w:hint="eastAsia"/>
        </w:rPr>
        <w:t>环保标志产品、节能产品</w:t>
      </w:r>
      <w:r>
        <w:rPr>
          <w:rStyle w:val="Hyperlink"/>
        </w:rPr>
        <w:t>政策适用性说明</w:t>
      </w:r>
      <w:r>
        <w:rPr>
          <w:rStyle w:val="Hyperlink"/>
        </w:rPr>
        <w:tab/>
      </w:r>
      <w:r>
        <w:fldChar w:fldCharType="begin"/>
      </w:r>
      <w:r>
        <w:rPr>
          <w:rStyle w:val="Hyperlink"/>
        </w:rPr>
        <w:instrText xml:space="preserve"> PAGEREF _Toc256000073 \h </w:instrText>
      </w:r>
      <w:r>
        <w:fldChar w:fldCharType="separate"/>
      </w:r>
      <w:r>
        <w:rPr>
          <w:rStyle w:val="Hyperlink"/>
        </w:rPr>
        <w:t>51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"_Toc256000074" </w:instrText>
      </w:r>
      <w:r>
        <w:fldChar w:fldCharType="separate"/>
      </w:r>
      <w:r>
        <w:rPr>
          <w:rStyle w:val="Hyperlink"/>
        </w:rPr>
        <w:t>格式</w:t>
      </w:r>
      <w:r>
        <w:rPr>
          <w:rStyle w:val="Hyperlink"/>
          <w:rFonts w:hint="eastAsia"/>
        </w:rPr>
        <w:t>1</w:t>
      </w:r>
      <w:r>
        <w:rPr>
          <w:rStyle w:val="Hyperlink"/>
          <w:rFonts w:hint="eastAsia"/>
        </w:rPr>
        <w:t>1</w:t>
      </w:r>
      <w:r>
        <w:rPr>
          <w:rStyle w:val="Hyperlink"/>
        </w:rPr>
        <w:t>：</w:t>
      </w:r>
      <w:r>
        <w:rPr>
          <w:rStyle w:val="Hyperlink"/>
          <w:rFonts w:hint="eastAsia"/>
        </w:rPr>
        <w:t>同类业绩一览表</w:t>
      </w:r>
      <w:r>
        <w:rPr>
          <w:rStyle w:val="Hyperlink"/>
        </w:rPr>
        <w:tab/>
      </w:r>
      <w:r>
        <w:fldChar w:fldCharType="begin"/>
      </w:r>
      <w:r>
        <w:rPr>
          <w:rStyle w:val="Hyperlink"/>
        </w:rPr>
        <w:instrText xml:space="preserve"> PAGEREF _Toc256000074 \h </w:instrText>
      </w:r>
      <w:r>
        <w:fldChar w:fldCharType="separate"/>
      </w:r>
      <w:r>
        <w:rPr>
          <w:rStyle w:val="Hyperlink"/>
        </w:rPr>
        <w:t>52</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"_Toc256000075" </w:instrText>
      </w:r>
      <w:r>
        <w:fldChar w:fldCharType="separate"/>
      </w:r>
      <w:r>
        <w:rPr>
          <w:rStyle w:val="Hyperlink"/>
          <w:b/>
          <w:bCs/>
        </w:rPr>
        <w:t>格式1</w:t>
      </w:r>
      <w:r>
        <w:rPr>
          <w:rStyle w:val="Hyperlink"/>
          <w:rFonts w:hint="eastAsia"/>
          <w:b/>
          <w:bCs/>
        </w:rPr>
        <w:t>2</w:t>
      </w:r>
      <w:r>
        <w:rPr>
          <w:rStyle w:val="Hyperlink"/>
          <w:b/>
          <w:bCs/>
        </w:rPr>
        <w:t>：</w:t>
      </w:r>
      <w:r>
        <w:rPr>
          <w:rStyle w:val="Hyperlink"/>
          <w:rFonts w:hint="eastAsia"/>
          <w:b/>
          <w:bCs/>
        </w:rPr>
        <w:t>中小企业声明函</w:t>
      </w:r>
      <w:r>
        <w:rPr>
          <w:rStyle w:val="Hyperlink"/>
        </w:rPr>
        <w:tab/>
      </w:r>
      <w:r>
        <w:fldChar w:fldCharType="begin"/>
      </w:r>
      <w:r>
        <w:rPr>
          <w:rStyle w:val="Hyperlink"/>
        </w:rPr>
        <w:instrText xml:space="preserve"> PAGEREF _Toc256000075 \h </w:instrText>
      </w:r>
      <w:r>
        <w:fldChar w:fldCharType="separate"/>
      </w:r>
      <w:r>
        <w:rPr>
          <w:rStyle w:val="Hyperlink"/>
        </w:rPr>
        <w:t>53</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"_Toc256000076" </w:instrText>
      </w:r>
      <w:r>
        <w:fldChar w:fldCharType="separate"/>
      </w:r>
      <w:r>
        <w:rPr>
          <w:rStyle w:val="Hyperlink"/>
          <w:rFonts w:ascii="黑体" w:eastAsia="黑体" w:hAnsi="黑体" w:cs="黑体" w:hint="eastAsia"/>
          <w:b/>
          <w:bCs/>
        </w:rPr>
        <w:t>本项目不属于专门面向中小微企业采购的项目</w:t>
      </w:r>
      <w:r>
        <w:rPr>
          <w:rStyle w:val="Hyperlink"/>
        </w:rPr>
        <w:tab/>
      </w:r>
      <w:r>
        <w:fldChar w:fldCharType="begin"/>
      </w:r>
      <w:r>
        <w:rPr>
          <w:rStyle w:val="Hyperlink"/>
        </w:rPr>
        <w:instrText xml:space="preserve"> PAGEREF _Toc256000076 \h </w:instrText>
      </w:r>
      <w:r>
        <w:fldChar w:fldCharType="separate"/>
      </w:r>
      <w:r>
        <w:rPr>
          <w:rStyle w:val="Hyperlink"/>
        </w:rPr>
        <w:t>53</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"_Toc256000077" </w:instrText>
      </w:r>
      <w:r>
        <w:fldChar w:fldCharType="separate"/>
      </w:r>
      <w:r>
        <w:rPr>
          <w:rStyle w:val="Hyperlink"/>
          <w:rFonts w:ascii="黑体" w:eastAsia="黑体" w:hAnsi="黑体" w:cs="黑体" w:hint="eastAsia"/>
          <w:b/>
          <w:bCs/>
        </w:rPr>
        <w:t>（1）中小企业声明函（</w:t>
      </w:r>
      <w:r>
        <w:rPr>
          <w:rStyle w:val="Hyperlink"/>
          <w:rFonts w:ascii="黑体" w:eastAsia="黑体" w:hAnsi="黑体" w:cs="黑体" w:hint="eastAsia"/>
          <w:b/>
          <w:bCs/>
        </w:rPr>
        <w:t>服务</w:t>
      </w:r>
      <w:r>
        <w:rPr>
          <w:rStyle w:val="Hyperlink"/>
          <w:rFonts w:ascii="黑体" w:eastAsia="黑体" w:hAnsi="黑体" w:cs="黑体" w:hint="eastAsia"/>
          <w:b/>
          <w:bCs/>
        </w:rPr>
        <w:t>类）</w:t>
      </w:r>
      <w:r>
        <w:rPr>
          <w:rStyle w:val="Hyperlink"/>
        </w:rPr>
        <w:tab/>
      </w:r>
      <w:r>
        <w:fldChar w:fldCharType="begin"/>
      </w:r>
      <w:r>
        <w:rPr>
          <w:rStyle w:val="Hyperlink"/>
        </w:rPr>
        <w:instrText xml:space="preserve"> PAGEREF _Toc256000077 \h </w:instrText>
      </w:r>
      <w:r>
        <w:fldChar w:fldCharType="separate"/>
      </w:r>
      <w:r>
        <w:rPr>
          <w:rStyle w:val="Hyperlink"/>
        </w:rPr>
        <w:t>55</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"_Toc256000078" </w:instrText>
      </w:r>
      <w:r>
        <w:fldChar w:fldCharType="separate"/>
      </w:r>
      <w:r>
        <w:rPr>
          <w:rStyle w:val="Hyperlink"/>
          <w:rFonts w:ascii="黑体" w:eastAsia="黑体" w:hAnsi="黑体" w:cs="黑体" w:hint="eastAsia"/>
          <w:b/>
          <w:bCs/>
        </w:rPr>
        <w:t>（2）残疾人福利性单位声明函</w:t>
      </w:r>
      <w:r>
        <w:rPr>
          <w:rStyle w:val="Hyperlink"/>
        </w:rPr>
        <w:tab/>
      </w:r>
      <w:r>
        <w:fldChar w:fldCharType="begin"/>
      </w:r>
      <w:r>
        <w:rPr>
          <w:rStyle w:val="Hyperlink"/>
        </w:rPr>
        <w:instrText xml:space="preserve"> PAGEREF _Toc256000078 \h </w:instrText>
      </w:r>
      <w:r>
        <w:fldChar w:fldCharType="separate"/>
      </w:r>
      <w:r>
        <w:rPr>
          <w:rStyle w:val="Hyperlink"/>
        </w:rPr>
        <w:t>56</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"_Toc256000079" </w:instrText>
      </w:r>
      <w:r>
        <w:fldChar w:fldCharType="separate"/>
      </w:r>
      <w:r>
        <w:rPr>
          <w:rStyle w:val="Hyperlink"/>
          <w:rFonts w:ascii="黑体" w:eastAsia="黑体" w:hAnsi="黑体" w:cs="黑体" w:hint="eastAsia"/>
          <w:b/>
          <w:bCs/>
        </w:rPr>
        <w:t>（3）监狱企业声明函【提供监狱企业货物的供应商如需享受优惠政策，还须另行提供省级以上监狱管理局、戒毒管理局（含新疆生产建设兵团）出具的监狱企业证明文件】</w:t>
      </w:r>
      <w:r>
        <w:rPr>
          <w:rStyle w:val="Hyperlink"/>
        </w:rPr>
        <w:tab/>
      </w:r>
      <w:r>
        <w:fldChar w:fldCharType="begin"/>
      </w:r>
      <w:r>
        <w:rPr>
          <w:rStyle w:val="Hyperlink"/>
        </w:rPr>
        <w:instrText xml:space="preserve"> PAGEREF _Toc256000079 \h </w:instrText>
      </w:r>
      <w:r>
        <w:fldChar w:fldCharType="separate"/>
      </w:r>
      <w:r>
        <w:rPr>
          <w:rStyle w:val="Hyperlink"/>
        </w:rPr>
        <w:t>57</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"_Toc256000080" </w:instrText>
      </w:r>
      <w:r>
        <w:fldChar w:fldCharType="separate"/>
      </w:r>
      <w:r>
        <w:rPr>
          <w:rStyle w:val="Hyperlink"/>
        </w:rPr>
        <w:t>格式</w:t>
      </w:r>
      <w:r>
        <w:rPr>
          <w:rStyle w:val="Hyperlink"/>
          <w:rFonts w:hint="eastAsia"/>
        </w:rPr>
        <w:t>1</w:t>
      </w:r>
      <w:r>
        <w:rPr>
          <w:rStyle w:val="Hyperlink"/>
          <w:rFonts w:hint="eastAsia"/>
        </w:rPr>
        <w:t>3</w:t>
      </w:r>
      <w:r>
        <w:rPr>
          <w:rStyle w:val="Hyperlink"/>
        </w:rPr>
        <w:t>：履约进度计划表</w:t>
      </w:r>
      <w:r>
        <w:rPr>
          <w:rStyle w:val="Hyperlink"/>
        </w:rPr>
        <w:tab/>
      </w:r>
      <w:r>
        <w:fldChar w:fldCharType="begin"/>
      </w:r>
      <w:r>
        <w:rPr>
          <w:rStyle w:val="Hyperlink"/>
        </w:rPr>
        <w:instrText xml:space="preserve"> PAGEREF _Toc256000080 \h </w:instrText>
      </w:r>
      <w:r>
        <w:fldChar w:fldCharType="separate"/>
      </w:r>
      <w:r>
        <w:rPr>
          <w:rStyle w:val="Hyperlink"/>
        </w:rPr>
        <w:t>58</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"_Toc256000081" </w:instrText>
      </w:r>
      <w:r>
        <w:fldChar w:fldCharType="separate"/>
      </w:r>
      <w:r>
        <w:rPr>
          <w:rStyle w:val="Hyperlink"/>
          <w:rFonts w:hint="eastAsia"/>
        </w:rPr>
        <w:t>格式14：</w:t>
      </w:r>
      <w:r>
        <w:rPr>
          <w:rStyle w:val="Hyperlink"/>
          <w:rFonts w:hint="eastAsia"/>
        </w:rPr>
        <w:t>政府采购违法行为风险知悉确认书</w:t>
      </w:r>
      <w:r>
        <w:rPr>
          <w:rStyle w:val="Hyperlink"/>
        </w:rPr>
        <w:tab/>
      </w:r>
      <w:r>
        <w:fldChar w:fldCharType="begin"/>
      </w:r>
      <w:r>
        <w:rPr>
          <w:rStyle w:val="Hyperlink"/>
        </w:rPr>
        <w:instrText xml:space="preserve"> PAGEREF _Toc256000081 \h </w:instrText>
      </w:r>
      <w:r>
        <w:fldChar w:fldCharType="separate"/>
      </w:r>
      <w:r>
        <w:rPr>
          <w:rStyle w:val="Hyperlink"/>
        </w:rPr>
        <w:t>59</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"_Toc256000082" </w:instrText>
      </w:r>
      <w:r>
        <w:fldChar w:fldCharType="separate"/>
      </w:r>
      <w:r>
        <w:rPr>
          <w:rStyle w:val="Hyperlink"/>
          <w:rFonts w:hint="eastAsia"/>
        </w:rPr>
        <w:t>格式</w:t>
      </w:r>
      <w:r>
        <w:rPr>
          <w:rStyle w:val="Hyperlink"/>
          <w:rFonts w:hint="eastAsia"/>
        </w:rPr>
        <w:t>1</w:t>
      </w:r>
      <w:r>
        <w:rPr>
          <w:rStyle w:val="Hyperlink"/>
          <w:rFonts w:hint="eastAsia"/>
        </w:rPr>
        <w:t>5</w:t>
      </w:r>
      <w:r>
        <w:rPr>
          <w:rStyle w:val="Hyperlink"/>
          <w:rFonts w:hint="eastAsia"/>
        </w:rPr>
        <w:t>：联合体协议书</w:t>
      </w:r>
      <w:r>
        <w:rPr>
          <w:rStyle w:val="Hyperlink"/>
          <w:rFonts w:hint="eastAsia"/>
        </w:rPr>
        <w:t>（本项目不适用）</w:t>
      </w:r>
      <w:r>
        <w:rPr>
          <w:rStyle w:val="Hyperlink"/>
        </w:rPr>
        <w:tab/>
      </w:r>
      <w:r>
        <w:fldChar w:fldCharType="begin"/>
      </w:r>
      <w:r>
        <w:rPr>
          <w:rStyle w:val="Hyperlink"/>
        </w:rPr>
        <w:instrText xml:space="preserve"> PAGEREF _Toc256000082 \h </w:instrText>
      </w:r>
      <w:r>
        <w:fldChar w:fldCharType="separate"/>
      </w:r>
      <w:r>
        <w:rPr>
          <w:rStyle w:val="Hyperlink"/>
        </w:rPr>
        <w:t>61</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"_Toc256000083" </w:instrText>
      </w:r>
      <w:r>
        <w:fldChar w:fldCharType="separate"/>
      </w:r>
      <w:r>
        <w:rPr>
          <w:rStyle w:val="Hyperlink"/>
          <w:rFonts w:hint="eastAsia"/>
        </w:rPr>
        <w:t>第六章 合同文本</w:t>
      </w:r>
      <w:r>
        <w:rPr>
          <w:rStyle w:val="Hyperlink"/>
        </w:rPr>
        <w:tab/>
      </w:r>
      <w:r>
        <w:fldChar w:fldCharType="begin"/>
      </w:r>
      <w:r>
        <w:rPr>
          <w:rStyle w:val="Hyperlink"/>
        </w:rPr>
        <w:instrText xml:space="preserve"> PAGEREF _Toc256000083 \h </w:instrText>
      </w:r>
      <w:r>
        <w:fldChar w:fldCharType="separate"/>
      </w:r>
      <w:r>
        <w:rPr>
          <w:rStyle w:val="Hyperlink"/>
        </w:rPr>
        <w:t>62</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"_Toc256000084" </w:instrText>
      </w:r>
      <w:r>
        <w:fldChar w:fldCharType="separate"/>
      </w:r>
      <w:r>
        <w:rPr>
          <w:rStyle w:val="Hyperlink"/>
          <w:rFonts w:hint="eastAsia"/>
        </w:rPr>
        <w:t>合同文本编制说明</w:t>
      </w:r>
      <w:r>
        <w:rPr>
          <w:rStyle w:val="Hyperlink"/>
        </w:rPr>
        <w:tab/>
      </w:r>
      <w:r>
        <w:fldChar w:fldCharType="begin"/>
      </w:r>
      <w:r>
        <w:rPr>
          <w:rStyle w:val="Hyperlink"/>
        </w:rPr>
        <w:instrText xml:space="preserve"> PAGEREF _Toc256000084 \h </w:instrText>
      </w:r>
      <w:r>
        <w:fldChar w:fldCharType="separate"/>
      </w:r>
      <w:r>
        <w:rPr>
          <w:rStyle w:val="Hyperlink"/>
        </w:rPr>
        <w:t>62</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"_Toc256000085" </w:instrText>
      </w:r>
      <w:r>
        <w:fldChar w:fldCharType="separate"/>
      </w:r>
      <w:r>
        <w:rPr>
          <w:rStyle w:val="Hyperlink"/>
          <w:rFonts w:hint="eastAsia"/>
        </w:rPr>
        <w:t>第七章 投标人须知</w:t>
      </w:r>
      <w:r>
        <w:rPr>
          <w:rStyle w:val="Hyperlink"/>
        </w:rPr>
        <w:tab/>
      </w:r>
      <w:r>
        <w:fldChar w:fldCharType="begin"/>
      </w:r>
      <w:r>
        <w:rPr>
          <w:rStyle w:val="Hyperlink"/>
        </w:rPr>
        <w:instrText xml:space="preserve"> PAGEREF _Toc256000085 \h </w:instrText>
      </w:r>
      <w:r>
        <w:fldChar w:fldCharType="separate"/>
      </w:r>
      <w:r>
        <w:rPr>
          <w:rStyle w:val="Hyperlink"/>
        </w:rPr>
        <w:t>68</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"_Toc256000086" </w:instrText>
      </w:r>
      <w:r>
        <w:fldChar w:fldCharType="separate"/>
      </w:r>
      <w:r>
        <w:rPr>
          <w:rStyle w:val="Hyperlink"/>
          <w:rFonts w:hint="eastAsia"/>
        </w:rPr>
        <w:t>1. 总则</w:t>
      </w:r>
      <w:r>
        <w:rPr>
          <w:rStyle w:val="Hyperlink"/>
        </w:rPr>
        <w:tab/>
      </w:r>
      <w:r>
        <w:fldChar w:fldCharType="begin"/>
      </w:r>
      <w:r>
        <w:rPr>
          <w:rStyle w:val="Hyperlink"/>
        </w:rPr>
        <w:instrText xml:space="preserve"> PAGEREF _Toc256000086 \h </w:instrText>
      </w:r>
      <w:r>
        <w:fldChar w:fldCharType="separate"/>
      </w:r>
      <w:r>
        <w:rPr>
          <w:rStyle w:val="Hyperlink"/>
        </w:rPr>
        <w:t>68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"_Toc256000087" </w:instrText>
      </w:r>
      <w:r>
        <w:fldChar w:fldCharType="separate"/>
      </w:r>
      <w:r>
        <w:rPr>
          <w:rStyle w:val="Hyperlink"/>
          <w:rFonts w:hint="eastAsia"/>
        </w:rPr>
        <w:t>1.1 项目概况</w:t>
      </w:r>
      <w:r>
        <w:rPr>
          <w:rStyle w:val="Hyperlink"/>
        </w:rPr>
        <w:tab/>
      </w:r>
      <w:r>
        <w:fldChar w:fldCharType="begin"/>
      </w:r>
      <w:r>
        <w:rPr>
          <w:rStyle w:val="Hyperlink"/>
        </w:rPr>
        <w:instrText xml:space="preserve"> PAGEREF _Toc256000087 \h </w:instrText>
      </w:r>
      <w:r>
        <w:fldChar w:fldCharType="separate"/>
      </w:r>
      <w:r>
        <w:rPr>
          <w:rStyle w:val="Hyperlink"/>
        </w:rPr>
        <w:t>68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"_Toc256000088" </w:instrText>
      </w:r>
      <w:r>
        <w:fldChar w:fldCharType="separate"/>
      </w:r>
      <w:r>
        <w:rPr>
          <w:rStyle w:val="Hyperlink"/>
          <w:rFonts w:hint="eastAsia"/>
        </w:rPr>
        <w:t>1.2 资金来源和落实情况</w:t>
      </w:r>
      <w:r>
        <w:rPr>
          <w:rStyle w:val="Hyperlink"/>
        </w:rPr>
        <w:tab/>
      </w:r>
      <w:r>
        <w:fldChar w:fldCharType="begin"/>
      </w:r>
      <w:r>
        <w:rPr>
          <w:rStyle w:val="Hyperlink"/>
        </w:rPr>
        <w:instrText xml:space="preserve"> PAGEREF _Toc256000088 \h </w:instrText>
      </w:r>
      <w:r>
        <w:fldChar w:fldCharType="separate"/>
      </w:r>
      <w:r>
        <w:rPr>
          <w:rStyle w:val="Hyperlink"/>
        </w:rPr>
        <w:t>68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"_Toc256000089" </w:instrText>
      </w:r>
      <w:r>
        <w:fldChar w:fldCharType="separate"/>
      </w:r>
      <w:r>
        <w:rPr>
          <w:rStyle w:val="Hyperlink"/>
          <w:rFonts w:hint="eastAsia"/>
        </w:rPr>
        <w:t xml:space="preserve">1.3 </w:t>
      </w:r>
      <w:r>
        <w:rPr>
          <w:rStyle w:val="Hyperlink"/>
          <w:rFonts w:hint="eastAsia"/>
        </w:rPr>
        <w:t>合格的供应商</w:t>
      </w:r>
      <w:r>
        <w:rPr>
          <w:rStyle w:val="Hyperlink"/>
        </w:rPr>
        <w:tab/>
      </w:r>
      <w:r>
        <w:fldChar w:fldCharType="begin"/>
      </w:r>
      <w:r>
        <w:rPr>
          <w:rStyle w:val="Hyperlink"/>
        </w:rPr>
        <w:instrText xml:space="preserve"> PAGEREF _Toc256000089 \h </w:instrText>
      </w:r>
      <w:r>
        <w:fldChar w:fldCharType="separate"/>
      </w:r>
      <w:r>
        <w:rPr>
          <w:rStyle w:val="Hyperlink"/>
        </w:rPr>
        <w:t>68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"_Toc256000090" </w:instrText>
      </w:r>
      <w:r>
        <w:fldChar w:fldCharType="separate"/>
      </w:r>
      <w:r>
        <w:rPr>
          <w:rStyle w:val="Hyperlink"/>
          <w:rFonts w:hint="eastAsia"/>
        </w:rPr>
        <w:t>1.4 联合体投标</w:t>
      </w:r>
      <w:r>
        <w:rPr>
          <w:rStyle w:val="Hyperlink"/>
        </w:rPr>
        <w:tab/>
      </w:r>
      <w:r>
        <w:fldChar w:fldCharType="begin"/>
      </w:r>
      <w:r>
        <w:rPr>
          <w:rStyle w:val="Hyperlink"/>
        </w:rPr>
        <w:instrText xml:space="preserve"> PAGEREF _Toc256000090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"_Toc256000091" </w:instrText>
      </w:r>
      <w:r>
        <w:fldChar w:fldCharType="separate"/>
      </w:r>
      <w:r>
        <w:rPr>
          <w:rStyle w:val="Hyperlink"/>
          <w:rFonts w:hint="eastAsia"/>
        </w:rPr>
        <w:t>1.5进口产品采购</w:t>
      </w:r>
      <w:r>
        <w:rPr>
          <w:rStyle w:val="Hyperlink"/>
        </w:rPr>
        <w:tab/>
      </w:r>
      <w:r>
        <w:fldChar w:fldCharType="begin"/>
      </w:r>
      <w:r>
        <w:rPr>
          <w:rStyle w:val="Hyperlink"/>
        </w:rPr>
        <w:instrText xml:space="preserve"> PAGEREF _Toc256000091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"_Toc256000092" </w:instrText>
      </w:r>
      <w:r>
        <w:fldChar w:fldCharType="separate"/>
      </w:r>
      <w:r>
        <w:rPr>
          <w:rStyle w:val="Hyperlink"/>
          <w:rFonts w:hint="eastAsia"/>
        </w:rPr>
        <w:t>1.6 费用承担</w:t>
      </w:r>
      <w:r>
        <w:rPr>
          <w:rStyle w:val="Hyperlink"/>
        </w:rPr>
        <w:tab/>
      </w:r>
      <w:r>
        <w:fldChar w:fldCharType="begin"/>
      </w:r>
      <w:r>
        <w:rPr>
          <w:rStyle w:val="Hyperlink"/>
        </w:rPr>
        <w:instrText xml:space="preserve"> PAGEREF _Toc256000092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"_Toc256000093" </w:instrText>
      </w:r>
      <w:r>
        <w:fldChar w:fldCharType="separate"/>
      </w:r>
      <w:r>
        <w:rPr>
          <w:rStyle w:val="Hyperlink"/>
          <w:rFonts w:hint="eastAsia"/>
        </w:rPr>
        <w:t>1.7 保密</w:t>
      </w:r>
      <w:r>
        <w:rPr>
          <w:rStyle w:val="Hyperlink"/>
        </w:rPr>
        <w:tab/>
      </w:r>
      <w:r>
        <w:fldChar w:fldCharType="begin"/>
      </w:r>
      <w:r>
        <w:rPr>
          <w:rStyle w:val="Hyperlink"/>
        </w:rPr>
        <w:instrText xml:space="preserve"> PAGEREF _Toc256000093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"_Toc256000094" </w:instrText>
      </w:r>
      <w:r>
        <w:fldChar w:fldCharType="separate"/>
      </w:r>
      <w:r>
        <w:rPr>
          <w:rStyle w:val="Hyperlink"/>
          <w:rFonts w:hint="eastAsia"/>
        </w:rPr>
        <w:t>1.8 语言</w:t>
      </w:r>
      <w:r>
        <w:rPr>
          <w:rStyle w:val="Hyperlink"/>
          <w:rFonts w:hint="eastAsia"/>
        </w:rPr>
        <w:t>文字</w:t>
      </w:r>
      <w:r>
        <w:rPr>
          <w:rStyle w:val="Hyperlink"/>
        </w:rPr>
        <w:tab/>
      </w:r>
      <w:r>
        <w:fldChar w:fldCharType="begin"/>
      </w:r>
      <w:r>
        <w:rPr>
          <w:rStyle w:val="Hyperlink"/>
        </w:rPr>
        <w:instrText xml:space="preserve"> PAGEREF _Toc256000094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"_Toc256000095" </w:instrText>
      </w:r>
      <w:r>
        <w:fldChar w:fldCharType="separate"/>
      </w:r>
      <w:r>
        <w:rPr>
          <w:rStyle w:val="Hyperlink"/>
          <w:rFonts w:hint="eastAsia"/>
        </w:rPr>
        <w:t>1.9 计量单位</w:t>
      </w:r>
      <w:r>
        <w:rPr>
          <w:rStyle w:val="Hyperlink"/>
        </w:rPr>
        <w:tab/>
      </w:r>
      <w:r>
        <w:fldChar w:fldCharType="begin"/>
      </w:r>
      <w:r>
        <w:rPr>
          <w:rStyle w:val="Hyperlink"/>
        </w:rPr>
        <w:instrText xml:space="preserve"> PAGEREF _Toc256000095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"_Toc256000096" </w:instrText>
      </w:r>
      <w:r>
        <w:fldChar w:fldCharType="separate"/>
      </w:r>
      <w:r>
        <w:rPr>
          <w:rStyle w:val="Hyperlink"/>
          <w:rFonts w:hint="eastAsia"/>
        </w:rPr>
        <w:t>1.10 踏勘现场</w:t>
      </w:r>
      <w:r>
        <w:rPr>
          <w:rStyle w:val="Hyperlink"/>
        </w:rPr>
        <w:tab/>
      </w:r>
      <w:r>
        <w:fldChar w:fldCharType="begin"/>
      </w:r>
      <w:r>
        <w:rPr>
          <w:rStyle w:val="Hyperlink"/>
        </w:rPr>
        <w:instrText xml:space="preserve"> PAGEREF _Toc256000096 \h </w:instrText>
      </w:r>
      <w:r>
        <w:fldChar w:fldCharType="separate"/>
      </w:r>
      <w:r>
        <w:rPr>
          <w:rStyle w:val="Hyperlink"/>
        </w:rPr>
        <w:t>69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"_Toc256000097" </w:instrText>
      </w:r>
      <w:r>
        <w:fldChar w:fldCharType="separate"/>
      </w:r>
      <w:r>
        <w:rPr>
          <w:rStyle w:val="Hyperlink"/>
          <w:rFonts w:hint="eastAsia"/>
        </w:rPr>
        <w:t>1.11 投标预备会</w:t>
      </w:r>
      <w:r>
        <w:rPr>
          <w:rStyle w:val="Hyperlink"/>
        </w:rPr>
        <w:tab/>
      </w:r>
      <w:r>
        <w:fldChar w:fldCharType="begin"/>
      </w:r>
      <w:r>
        <w:rPr>
          <w:rStyle w:val="Hyperlink"/>
        </w:rPr>
        <w:instrText xml:space="preserve"> PAGEREF _Toc256000097 \h </w:instrText>
      </w:r>
      <w:r>
        <w:fldChar w:fldCharType="separate"/>
      </w:r>
      <w:r>
        <w:rPr>
          <w:rStyle w:val="Hyperlink"/>
        </w:rPr>
        <w:t>70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"_Toc256000098" </w:instrText>
      </w:r>
      <w:r>
        <w:fldChar w:fldCharType="separate"/>
      </w:r>
      <w:r>
        <w:rPr>
          <w:rStyle w:val="Hyperlink"/>
          <w:rFonts w:hint="eastAsia"/>
        </w:rPr>
        <w:t>1.12 响应和偏离</w:t>
      </w:r>
      <w:r>
        <w:rPr>
          <w:rStyle w:val="Hyperlink"/>
        </w:rPr>
        <w:tab/>
      </w:r>
      <w:r>
        <w:fldChar w:fldCharType="begin"/>
      </w:r>
      <w:r>
        <w:rPr>
          <w:rStyle w:val="Hyperlink"/>
        </w:rPr>
        <w:instrText xml:space="preserve"> PAGEREF _Toc256000098 \h </w:instrText>
      </w:r>
      <w:r>
        <w:fldChar w:fldCharType="separate"/>
      </w:r>
      <w:r>
        <w:rPr>
          <w:rStyle w:val="Hyperlink"/>
        </w:rPr>
        <w:t>70</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"_Toc256000099" </w:instrText>
      </w:r>
      <w:r>
        <w:fldChar w:fldCharType="separate"/>
      </w:r>
      <w:r>
        <w:rPr>
          <w:rStyle w:val="Hyperlink"/>
          <w:rFonts w:hint="eastAsia"/>
        </w:rPr>
        <w:t>2. 招标文件</w:t>
      </w:r>
      <w:r>
        <w:rPr>
          <w:rStyle w:val="Hyperlink"/>
        </w:rPr>
        <w:tab/>
      </w:r>
      <w:r>
        <w:fldChar w:fldCharType="begin"/>
      </w:r>
      <w:r>
        <w:rPr>
          <w:rStyle w:val="Hyperlink"/>
        </w:rPr>
        <w:instrText xml:space="preserve"> PAGEREF _Toc256000099 \h </w:instrText>
      </w:r>
      <w:r>
        <w:fldChar w:fldCharType="separate"/>
      </w:r>
      <w:r>
        <w:rPr>
          <w:rStyle w:val="Hyperlink"/>
        </w:rPr>
        <w:t>70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"_Toc256000100" </w:instrText>
      </w:r>
      <w:r>
        <w:fldChar w:fldCharType="separate"/>
      </w:r>
      <w:r>
        <w:rPr>
          <w:rStyle w:val="Hyperlink"/>
          <w:rFonts w:hint="eastAsia"/>
        </w:rPr>
        <w:t>2.1 招标文件的组成</w:t>
      </w:r>
      <w:r>
        <w:rPr>
          <w:rStyle w:val="Hyperlink"/>
        </w:rPr>
        <w:tab/>
      </w:r>
      <w:r>
        <w:fldChar w:fldCharType="begin"/>
      </w:r>
      <w:r>
        <w:rPr>
          <w:rStyle w:val="Hyperlink"/>
        </w:rPr>
        <w:instrText xml:space="preserve"> PAGEREF _Toc256000100 \h </w:instrText>
      </w:r>
      <w:r>
        <w:fldChar w:fldCharType="separate"/>
      </w:r>
      <w:r>
        <w:rPr>
          <w:rStyle w:val="Hyperlink"/>
        </w:rPr>
        <w:t>70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"_Toc256000101" </w:instrText>
      </w:r>
      <w:r>
        <w:fldChar w:fldCharType="separate"/>
      </w:r>
      <w:r>
        <w:rPr>
          <w:rStyle w:val="Hyperlink"/>
          <w:rFonts w:hint="eastAsia"/>
        </w:rPr>
        <w:t>2.2 招标文件的澄清</w:t>
      </w:r>
      <w:r>
        <w:rPr>
          <w:rStyle w:val="Hyperlink"/>
          <w:rFonts w:hint="eastAsia"/>
        </w:rPr>
        <w:t>与修改</w:t>
      </w:r>
      <w:r>
        <w:rPr>
          <w:rStyle w:val="Hyperlink"/>
        </w:rPr>
        <w:tab/>
      </w:r>
      <w:r>
        <w:fldChar w:fldCharType="begin"/>
      </w:r>
      <w:r>
        <w:rPr>
          <w:rStyle w:val="Hyperlink"/>
        </w:rPr>
        <w:instrText xml:space="preserve"> PAGEREF _Toc256000101 \h </w:instrText>
      </w:r>
      <w:r>
        <w:fldChar w:fldCharType="separate"/>
      </w:r>
      <w:r>
        <w:rPr>
          <w:rStyle w:val="Hyperlink"/>
        </w:rPr>
        <w:t>71</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"_Toc256000102" </w:instrText>
      </w:r>
      <w:r>
        <w:fldChar w:fldCharType="separate"/>
      </w:r>
      <w:r>
        <w:rPr>
          <w:rStyle w:val="Hyperlink"/>
          <w:rFonts w:hint="eastAsia"/>
        </w:rPr>
        <w:t>3. 投标文件</w:t>
      </w:r>
      <w:r>
        <w:rPr>
          <w:rStyle w:val="Hyperlink"/>
        </w:rPr>
        <w:tab/>
      </w:r>
      <w:r>
        <w:fldChar w:fldCharType="begin"/>
      </w:r>
      <w:r>
        <w:rPr>
          <w:rStyle w:val="Hyperlink"/>
        </w:rPr>
        <w:instrText xml:space="preserve"> PAGEREF _Toc256000102 \h </w:instrText>
      </w:r>
      <w:r>
        <w:fldChar w:fldCharType="separate"/>
      </w:r>
      <w:r>
        <w:rPr>
          <w:rStyle w:val="Hyperlink"/>
        </w:rPr>
        <w:t>71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"_Toc256000103" </w:instrText>
      </w:r>
      <w:r>
        <w:fldChar w:fldCharType="separate"/>
      </w:r>
      <w:r>
        <w:rPr>
          <w:rStyle w:val="Hyperlink"/>
          <w:rFonts w:hint="eastAsia"/>
        </w:rPr>
        <w:t>3.1 投标文件的组成</w:t>
      </w:r>
      <w:r>
        <w:rPr>
          <w:rStyle w:val="Hyperlink"/>
        </w:rPr>
        <w:tab/>
      </w:r>
      <w:r>
        <w:fldChar w:fldCharType="begin"/>
      </w:r>
      <w:r>
        <w:rPr>
          <w:rStyle w:val="Hyperlink"/>
        </w:rPr>
        <w:instrText xml:space="preserve"> PAGEREF _Toc256000103 \h </w:instrText>
      </w:r>
      <w:r>
        <w:fldChar w:fldCharType="separate"/>
      </w:r>
      <w:r>
        <w:rPr>
          <w:rStyle w:val="Hyperlink"/>
        </w:rPr>
        <w:t>71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"_Toc256000104" </w:instrText>
      </w:r>
      <w:r>
        <w:fldChar w:fldCharType="separate"/>
      </w:r>
      <w:r>
        <w:rPr>
          <w:rStyle w:val="Hyperlink"/>
          <w:rFonts w:hint="eastAsia"/>
        </w:rPr>
        <w:t>3.2 投标报价</w:t>
      </w:r>
      <w:r>
        <w:rPr>
          <w:rStyle w:val="Hyperlink"/>
        </w:rPr>
        <w:tab/>
      </w:r>
      <w:r>
        <w:fldChar w:fldCharType="begin"/>
      </w:r>
      <w:r>
        <w:rPr>
          <w:rStyle w:val="Hyperlink"/>
        </w:rPr>
        <w:instrText xml:space="preserve"> PAGEREF _Toc256000104 \h </w:instrText>
      </w:r>
      <w:r>
        <w:fldChar w:fldCharType="separate"/>
      </w:r>
      <w:r>
        <w:rPr>
          <w:rStyle w:val="Hyperlink"/>
        </w:rPr>
        <w:t>71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"_Toc256000105" </w:instrText>
      </w:r>
      <w:r>
        <w:fldChar w:fldCharType="separate"/>
      </w:r>
      <w:r>
        <w:rPr>
          <w:rStyle w:val="Hyperlink"/>
          <w:rFonts w:hint="eastAsia"/>
        </w:rPr>
        <w:t>3.3</w:t>
      </w:r>
      <w:r>
        <w:rPr>
          <w:rStyle w:val="Hyperlink"/>
          <w:rFonts w:ascii="Calibri" w:hint="eastAsia"/>
        </w:rPr>
        <w:t>证明投标人合格和资格的文件</w:t>
      </w:r>
      <w:r>
        <w:rPr>
          <w:rStyle w:val="Hyperlink"/>
        </w:rPr>
        <w:tab/>
      </w:r>
      <w:r>
        <w:fldChar w:fldCharType="begin"/>
      </w:r>
      <w:r>
        <w:rPr>
          <w:rStyle w:val="Hyperlink"/>
        </w:rPr>
        <w:instrText xml:space="preserve"> PAGEREF _Toc256000105 \h </w:instrText>
      </w:r>
      <w:r>
        <w:fldChar w:fldCharType="separate"/>
      </w:r>
      <w:r>
        <w:rPr>
          <w:rStyle w:val="Hyperlink"/>
        </w:rPr>
        <w:t>72</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"_Toc256000106" </w:instrText>
      </w:r>
      <w:r>
        <w:fldChar w:fldCharType="separate"/>
      </w:r>
      <w:r>
        <w:rPr>
          <w:rStyle w:val="Hyperlink"/>
          <w:rFonts w:hint="eastAsia"/>
        </w:rPr>
        <w:t>3.4</w:t>
      </w:r>
      <w:r>
        <w:rPr>
          <w:rStyle w:val="Hyperlink"/>
          <w:rFonts w:ascii="Calibri" w:hint="eastAsia"/>
        </w:rPr>
        <w:t>证明货物</w:t>
      </w:r>
      <w:r>
        <w:rPr>
          <w:rStyle w:val="Hyperlink"/>
          <w:rFonts w:hint="eastAsia"/>
        </w:rPr>
        <w:t>和服务的</w:t>
      </w:r>
      <w:r>
        <w:rPr>
          <w:rStyle w:val="Hyperlink"/>
          <w:rFonts w:ascii="Calibri" w:hint="eastAsia"/>
        </w:rPr>
        <w:t>符合</w:t>
      </w:r>
      <w:r>
        <w:rPr>
          <w:rStyle w:val="Hyperlink"/>
          <w:rFonts w:hint="eastAsia"/>
        </w:rPr>
        <w:t>性</w:t>
      </w:r>
      <w:r>
        <w:rPr>
          <w:rStyle w:val="Hyperlink"/>
        </w:rPr>
        <w:tab/>
      </w:r>
      <w:r>
        <w:fldChar w:fldCharType="begin"/>
      </w:r>
      <w:r>
        <w:rPr>
          <w:rStyle w:val="Hyperlink"/>
        </w:rPr>
        <w:instrText xml:space="preserve"> PAGEREF _Toc256000106 \h </w:instrText>
      </w:r>
      <w:r>
        <w:fldChar w:fldCharType="separate"/>
      </w:r>
      <w:r>
        <w:rPr>
          <w:rStyle w:val="Hyperlink"/>
        </w:rPr>
        <w:t>72</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"_Toc256000107" </w:instrText>
      </w:r>
      <w:r>
        <w:fldChar w:fldCharType="separate"/>
      </w:r>
      <w:r>
        <w:rPr>
          <w:rStyle w:val="Hyperlink"/>
          <w:rFonts w:hint="eastAsia"/>
        </w:rPr>
        <w:t>3.5 投标有效期</w:t>
      </w:r>
      <w:r>
        <w:rPr>
          <w:rStyle w:val="Hyperlink"/>
        </w:rPr>
        <w:tab/>
      </w:r>
      <w:r>
        <w:fldChar w:fldCharType="begin"/>
      </w:r>
      <w:r>
        <w:rPr>
          <w:rStyle w:val="Hyperlink"/>
        </w:rPr>
        <w:instrText xml:space="preserve"> PAGEREF _Toc256000107 \h </w:instrText>
      </w:r>
      <w:r>
        <w:fldChar w:fldCharType="separate"/>
      </w:r>
      <w:r>
        <w:rPr>
          <w:rStyle w:val="Hyperlink"/>
        </w:rPr>
        <w:t>72</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"_Toc256000108" </w:instrText>
      </w:r>
      <w:r>
        <w:fldChar w:fldCharType="separate"/>
      </w:r>
      <w:r>
        <w:rPr>
          <w:rStyle w:val="Hyperlink"/>
          <w:rFonts w:hint="eastAsia"/>
        </w:rPr>
        <w:t>3.6 投标保证金</w:t>
      </w:r>
      <w:r>
        <w:rPr>
          <w:rStyle w:val="Hyperlink"/>
        </w:rPr>
        <w:tab/>
      </w:r>
      <w:r>
        <w:fldChar w:fldCharType="begin"/>
      </w:r>
      <w:r>
        <w:rPr>
          <w:rStyle w:val="Hyperlink"/>
        </w:rPr>
        <w:instrText xml:space="preserve"> PAGEREF _Toc256000108 \h </w:instrText>
      </w:r>
      <w:r>
        <w:fldChar w:fldCharType="separate"/>
      </w:r>
      <w:r>
        <w:rPr>
          <w:rStyle w:val="Hyperlink"/>
        </w:rPr>
        <w:t>72</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"_Toc256000109" </w:instrText>
      </w:r>
      <w:r>
        <w:fldChar w:fldCharType="separate"/>
      </w:r>
      <w:r>
        <w:rPr>
          <w:rStyle w:val="Hyperlink"/>
          <w:rFonts w:hint="eastAsia"/>
        </w:rPr>
        <w:t>3.7投标文件的编制</w:t>
      </w:r>
      <w:r>
        <w:rPr>
          <w:rStyle w:val="Hyperlink"/>
        </w:rPr>
        <w:tab/>
      </w:r>
      <w:r>
        <w:fldChar w:fldCharType="begin"/>
      </w:r>
      <w:r>
        <w:rPr>
          <w:rStyle w:val="Hyperlink"/>
        </w:rPr>
        <w:instrText xml:space="preserve"> PAGEREF _Toc256000109 \h </w:instrText>
      </w:r>
      <w:r>
        <w:fldChar w:fldCharType="separate"/>
      </w:r>
      <w:r>
        <w:rPr>
          <w:rStyle w:val="Hyperlink"/>
        </w:rPr>
        <w:t>73</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"_Toc256000110" </w:instrText>
      </w:r>
      <w:r>
        <w:fldChar w:fldCharType="separate"/>
      </w:r>
      <w:r>
        <w:rPr>
          <w:rStyle w:val="Hyperlink"/>
          <w:rFonts w:hint="eastAsia"/>
        </w:rPr>
        <w:t>4. 投标</w:t>
      </w:r>
      <w:r>
        <w:rPr>
          <w:rStyle w:val="Hyperlink"/>
        </w:rPr>
        <w:tab/>
      </w:r>
      <w:r>
        <w:fldChar w:fldCharType="begin"/>
      </w:r>
      <w:r>
        <w:rPr>
          <w:rStyle w:val="Hyperlink"/>
        </w:rPr>
        <w:instrText xml:space="preserve"> PAGEREF _Toc256000110 \h </w:instrText>
      </w:r>
      <w:r>
        <w:fldChar w:fldCharType="separate"/>
      </w:r>
      <w:r>
        <w:rPr>
          <w:rStyle w:val="Hyperlink"/>
        </w:rPr>
        <w:t>74</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"_Toc256000111" </w:instrText>
      </w:r>
      <w:r>
        <w:fldChar w:fldCharType="separate"/>
      </w:r>
      <w:r>
        <w:rPr>
          <w:rStyle w:val="Hyperlink"/>
          <w:rFonts w:hint="eastAsia"/>
        </w:rPr>
        <w:t>4.1 投标文件的</w:t>
      </w:r>
      <w:r>
        <w:rPr>
          <w:rStyle w:val="Hyperlink"/>
          <w:rFonts w:hint="eastAsia"/>
        </w:rPr>
        <w:t>加密</w:t>
      </w:r>
      <w:r>
        <w:rPr>
          <w:rStyle w:val="Hyperlink"/>
        </w:rPr>
        <w:tab/>
      </w:r>
      <w:r>
        <w:fldChar w:fldCharType="begin"/>
      </w:r>
      <w:r>
        <w:rPr>
          <w:rStyle w:val="Hyperlink"/>
        </w:rPr>
        <w:instrText xml:space="preserve"> PAGEREF _Toc256000111 \h </w:instrText>
      </w:r>
      <w:r>
        <w:fldChar w:fldCharType="separate"/>
      </w:r>
      <w:r>
        <w:rPr>
          <w:rStyle w:val="Hyperlink"/>
        </w:rPr>
        <w:t>74</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"_Toc256000112" </w:instrText>
      </w:r>
      <w:r>
        <w:fldChar w:fldCharType="separate"/>
      </w:r>
      <w:r>
        <w:rPr>
          <w:rStyle w:val="Hyperlink"/>
          <w:rFonts w:hint="eastAsia"/>
        </w:rPr>
        <w:t>4.2 投标文件的递交</w:t>
      </w:r>
      <w:r>
        <w:rPr>
          <w:rStyle w:val="Hyperlink"/>
        </w:rPr>
        <w:tab/>
      </w:r>
      <w:r>
        <w:fldChar w:fldCharType="begin"/>
      </w:r>
      <w:r>
        <w:rPr>
          <w:rStyle w:val="Hyperlink"/>
        </w:rPr>
        <w:instrText xml:space="preserve"> PAGEREF _Toc256000112 \h </w:instrText>
      </w:r>
      <w:r>
        <w:fldChar w:fldCharType="separate"/>
      </w:r>
      <w:r>
        <w:rPr>
          <w:rStyle w:val="Hyperlink"/>
        </w:rPr>
        <w:t>76</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"_Toc256000113" </w:instrText>
      </w:r>
      <w:r>
        <w:fldChar w:fldCharType="separate"/>
      </w:r>
      <w:r>
        <w:rPr>
          <w:rStyle w:val="Hyperlink"/>
          <w:rFonts w:hint="eastAsia"/>
        </w:rPr>
        <w:t>4.3 投标文件的修改与撤回</w:t>
      </w:r>
      <w:r>
        <w:rPr>
          <w:rStyle w:val="Hyperlink"/>
        </w:rPr>
        <w:tab/>
      </w:r>
      <w:r>
        <w:fldChar w:fldCharType="begin"/>
      </w:r>
      <w:r>
        <w:rPr>
          <w:rStyle w:val="Hyperlink"/>
        </w:rPr>
        <w:instrText xml:space="preserve"> PAGEREF _Toc256000113 \h </w:instrText>
      </w:r>
      <w:r>
        <w:fldChar w:fldCharType="separate"/>
      </w:r>
      <w:r>
        <w:rPr>
          <w:rStyle w:val="Hyperlink"/>
        </w:rPr>
        <w:t>76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"_Toc256000114" </w:instrText>
      </w:r>
      <w:r>
        <w:fldChar w:fldCharType="separate"/>
      </w:r>
      <w:r>
        <w:rPr>
          <w:rStyle w:val="Hyperlink"/>
          <w:rFonts w:hint="eastAsia"/>
        </w:rPr>
        <w:t>5. 开标</w:t>
      </w:r>
      <w:r>
        <w:rPr>
          <w:rStyle w:val="Hyperlink"/>
        </w:rPr>
        <w:tab/>
      </w:r>
      <w:r>
        <w:fldChar w:fldCharType="begin"/>
      </w:r>
      <w:r>
        <w:rPr>
          <w:rStyle w:val="Hyperlink"/>
        </w:rPr>
        <w:instrText xml:space="preserve"> PAGEREF _Toc256000114 \h </w:instrText>
      </w:r>
      <w:r>
        <w:fldChar w:fldCharType="separate"/>
      </w:r>
      <w:r>
        <w:rPr>
          <w:rStyle w:val="Hyperlink"/>
        </w:rPr>
        <w:t>76</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"_Toc256000115" </w:instrText>
      </w:r>
      <w:r>
        <w:fldChar w:fldCharType="separate"/>
      </w:r>
      <w:r>
        <w:rPr>
          <w:rStyle w:val="Hyperlink"/>
          <w:rFonts w:hint="eastAsia"/>
        </w:rPr>
        <w:t>5.1 开标时间（投标截止时间）和地点</w:t>
      </w:r>
      <w:r>
        <w:rPr>
          <w:rStyle w:val="Hyperlink"/>
        </w:rPr>
        <w:tab/>
      </w:r>
      <w:r>
        <w:fldChar w:fldCharType="begin"/>
      </w:r>
      <w:r>
        <w:rPr>
          <w:rStyle w:val="Hyperlink"/>
        </w:rPr>
        <w:instrText xml:space="preserve"> PAGEREF _Toc256000115 \h </w:instrText>
      </w:r>
      <w:r>
        <w:fldChar w:fldCharType="separate"/>
      </w:r>
      <w:r>
        <w:rPr>
          <w:rStyle w:val="Hyperlink"/>
        </w:rPr>
        <w:t>76</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"_Toc256000116" </w:instrText>
      </w:r>
      <w:r>
        <w:fldChar w:fldCharType="separate"/>
      </w:r>
      <w:r>
        <w:rPr>
          <w:rStyle w:val="Hyperlink"/>
          <w:rFonts w:hint="eastAsia"/>
        </w:rPr>
        <w:t>5.2 不予开标</w:t>
      </w:r>
      <w:r>
        <w:rPr>
          <w:rStyle w:val="Hyperlink"/>
        </w:rPr>
        <w:tab/>
      </w:r>
      <w:r>
        <w:fldChar w:fldCharType="begin"/>
      </w:r>
      <w:r>
        <w:rPr>
          <w:rStyle w:val="Hyperlink"/>
        </w:rPr>
        <w:instrText xml:space="preserve"> PAGEREF _Toc256000116 \h </w:instrText>
      </w:r>
      <w:r>
        <w:fldChar w:fldCharType="separate"/>
      </w:r>
      <w:r>
        <w:rPr>
          <w:rStyle w:val="Hyperlink"/>
        </w:rPr>
        <w:t>76</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"_Toc256000117" </w:instrText>
      </w:r>
      <w:r>
        <w:fldChar w:fldCharType="separate"/>
      </w:r>
      <w:r>
        <w:rPr>
          <w:rStyle w:val="Hyperlink"/>
          <w:rFonts w:hint="eastAsia"/>
        </w:rPr>
        <w:t>5.3 开标程序</w:t>
      </w:r>
      <w:r>
        <w:rPr>
          <w:rStyle w:val="Hyperlink"/>
        </w:rPr>
        <w:tab/>
      </w:r>
      <w:r>
        <w:fldChar w:fldCharType="begin"/>
      </w:r>
      <w:r>
        <w:rPr>
          <w:rStyle w:val="Hyperlink"/>
        </w:rPr>
        <w:instrText xml:space="preserve"> PAGEREF _Toc256000117 \h </w:instrText>
      </w:r>
      <w:r>
        <w:fldChar w:fldCharType="separate"/>
      </w:r>
      <w:r>
        <w:rPr>
          <w:rStyle w:val="Hyperlink"/>
        </w:rPr>
        <w:t>76</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"_Toc256000118" </w:instrText>
      </w:r>
      <w:r>
        <w:fldChar w:fldCharType="separate"/>
      </w:r>
      <w:r>
        <w:rPr>
          <w:rStyle w:val="Hyperlink"/>
          <w:rFonts w:hint="eastAsia"/>
        </w:rPr>
        <w:t>6. 资格审查及评标</w:t>
      </w:r>
      <w:r>
        <w:rPr>
          <w:rStyle w:val="Hyperlink"/>
        </w:rPr>
        <w:tab/>
      </w:r>
      <w:r>
        <w:fldChar w:fldCharType="begin"/>
      </w:r>
      <w:r>
        <w:rPr>
          <w:rStyle w:val="Hyperlink"/>
        </w:rPr>
        <w:instrText xml:space="preserve"> PAGEREF _Toc256000118 \h </w:instrText>
      </w:r>
      <w:r>
        <w:fldChar w:fldCharType="separate"/>
      </w:r>
      <w:r>
        <w:rPr>
          <w:rStyle w:val="Hyperlink"/>
        </w:rPr>
        <w:t>77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"_Toc256000119" </w:instrText>
      </w:r>
      <w:r>
        <w:fldChar w:fldCharType="separate"/>
      </w:r>
      <w:r>
        <w:rPr>
          <w:rStyle w:val="Hyperlink"/>
          <w:rFonts w:hint="eastAsia"/>
        </w:rPr>
        <w:t xml:space="preserve">6.1 </w:t>
      </w:r>
      <w:r>
        <w:rPr>
          <w:rStyle w:val="Hyperlink"/>
          <w:rFonts w:hint="eastAsia"/>
        </w:rPr>
        <w:t>资格审查</w:t>
      </w:r>
      <w:r>
        <w:rPr>
          <w:rStyle w:val="Hyperlink"/>
        </w:rPr>
        <w:tab/>
      </w:r>
      <w:r>
        <w:fldChar w:fldCharType="begin"/>
      </w:r>
      <w:r>
        <w:rPr>
          <w:rStyle w:val="Hyperlink"/>
        </w:rPr>
        <w:instrText xml:space="preserve"> PAGEREF _Toc256000119 \h </w:instrText>
      </w:r>
      <w:r>
        <w:fldChar w:fldCharType="separate"/>
      </w:r>
      <w:r>
        <w:rPr>
          <w:rStyle w:val="Hyperlink"/>
        </w:rPr>
        <w:t>77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"_Toc256000120" </w:instrText>
      </w:r>
      <w:r>
        <w:fldChar w:fldCharType="separate"/>
      </w:r>
      <w:r>
        <w:rPr>
          <w:rStyle w:val="Hyperlink"/>
          <w:rFonts w:hint="eastAsia"/>
        </w:rPr>
        <w:t>6.2 评标委员会</w:t>
      </w:r>
      <w:r>
        <w:rPr>
          <w:rStyle w:val="Hyperlink"/>
        </w:rPr>
        <w:tab/>
      </w:r>
      <w:r>
        <w:fldChar w:fldCharType="begin"/>
      </w:r>
      <w:r>
        <w:rPr>
          <w:rStyle w:val="Hyperlink"/>
        </w:rPr>
        <w:instrText xml:space="preserve"> PAGEREF _Toc256000120 \h </w:instrText>
      </w:r>
      <w:r>
        <w:fldChar w:fldCharType="separate"/>
      </w:r>
      <w:r>
        <w:rPr>
          <w:rStyle w:val="Hyperlink"/>
        </w:rPr>
        <w:t>77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"_Toc256000121" </w:instrText>
      </w:r>
      <w:r>
        <w:fldChar w:fldCharType="separate"/>
      </w:r>
      <w:r>
        <w:rPr>
          <w:rStyle w:val="Hyperlink"/>
          <w:rFonts w:hint="eastAsia"/>
        </w:rPr>
        <w:t>6.3 评标原则</w:t>
      </w:r>
      <w:r>
        <w:rPr>
          <w:rStyle w:val="Hyperlink"/>
        </w:rPr>
        <w:tab/>
      </w:r>
      <w:r>
        <w:fldChar w:fldCharType="begin"/>
      </w:r>
      <w:r>
        <w:rPr>
          <w:rStyle w:val="Hyperlink"/>
        </w:rPr>
        <w:instrText xml:space="preserve"> PAGEREF _Toc256000121 \h </w:instrText>
      </w:r>
      <w:r>
        <w:fldChar w:fldCharType="separate"/>
      </w:r>
      <w:r>
        <w:rPr>
          <w:rStyle w:val="Hyperlink"/>
        </w:rPr>
        <w:t>77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"_Toc256000122" </w:instrText>
      </w:r>
      <w:r>
        <w:fldChar w:fldCharType="separate"/>
      </w:r>
      <w:r>
        <w:rPr>
          <w:rStyle w:val="Hyperlink"/>
          <w:rFonts w:hint="eastAsia"/>
        </w:rPr>
        <w:t>6.4评标程序</w:t>
      </w:r>
      <w:r>
        <w:rPr>
          <w:rStyle w:val="Hyperlink"/>
        </w:rPr>
        <w:tab/>
      </w:r>
      <w:r>
        <w:fldChar w:fldCharType="begin"/>
      </w:r>
      <w:r>
        <w:rPr>
          <w:rStyle w:val="Hyperlink"/>
        </w:rPr>
        <w:instrText xml:space="preserve"> PAGEREF _Toc256000122 \h </w:instrText>
      </w:r>
      <w:r>
        <w:fldChar w:fldCharType="separate"/>
      </w:r>
      <w:r>
        <w:rPr>
          <w:rStyle w:val="Hyperlink"/>
        </w:rPr>
        <w:t>77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"_Toc256000123" </w:instrText>
      </w:r>
      <w:r>
        <w:fldChar w:fldCharType="separate"/>
      </w:r>
      <w:r>
        <w:rPr>
          <w:rStyle w:val="Hyperlink"/>
          <w:rFonts w:hint="eastAsia"/>
        </w:rPr>
        <w:t>6.3 评标</w:t>
      </w:r>
      <w:r>
        <w:rPr>
          <w:rStyle w:val="Hyperlink"/>
          <w:rFonts w:hint="eastAsia"/>
        </w:rPr>
        <w:t>方法</w:t>
      </w:r>
      <w:r>
        <w:rPr>
          <w:rStyle w:val="Hyperlink"/>
        </w:rPr>
        <w:tab/>
      </w:r>
      <w:r>
        <w:fldChar w:fldCharType="begin"/>
      </w:r>
      <w:r>
        <w:rPr>
          <w:rStyle w:val="Hyperlink"/>
        </w:rPr>
        <w:instrText xml:space="preserve"> PAGEREF _Toc256000123 \h </w:instrText>
      </w:r>
      <w:r>
        <w:fldChar w:fldCharType="separate"/>
      </w:r>
      <w:r>
        <w:rPr>
          <w:rStyle w:val="Hyperlink"/>
        </w:rPr>
        <w:t>77</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"_Toc256000124" </w:instrText>
      </w:r>
      <w:r>
        <w:fldChar w:fldCharType="separate"/>
      </w:r>
      <w:r>
        <w:rPr>
          <w:rStyle w:val="Hyperlink"/>
          <w:rFonts w:hint="eastAsia"/>
        </w:rPr>
        <w:t>6.4</w:t>
      </w:r>
      <w:r>
        <w:rPr>
          <w:rStyle w:val="Hyperlink"/>
          <w:rFonts w:ascii="Calibri" w:hint="eastAsia"/>
        </w:rPr>
        <w:t>与</w:t>
      </w:r>
      <w:r>
        <w:rPr>
          <w:rStyle w:val="Hyperlink"/>
          <w:rFonts w:hint="eastAsia"/>
        </w:rPr>
        <w:t>采购代理机构</w:t>
      </w:r>
      <w:r>
        <w:rPr>
          <w:rStyle w:val="Hyperlink"/>
          <w:rFonts w:ascii="Calibri" w:hint="eastAsia"/>
        </w:rPr>
        <w:t>和采购人的接触</w:t>
      </w:r>
      <w:r>
        <w:rPr>
          <w:rStyle w:val="Hyperlink"/>
        </w:rPr>
        <w:tab/>
      </w:r>
      <w:r>
        <w:fldChar w:fldCharType="begin"/>
      </w:r>
      <w:r>
        <w:rPr>
          <w:rStyle w:val="Hyperlink"/>
        </w:rPr>
        <w:instrText xml:space="preserve"> PAGEREF _Toc256000124 \h </w:instrText>
      </w:r>
      <w:r>
        <w:fldChar w:fldCharType="separate"/>
      </w:r>
      <w:r>
        <w:rPr>
          <w:rStyle w:val="Hyperlink"/>
        </w:rPr>
        <w:t>78</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"_Toc256000125" </w:instrText>
      </w:r>
      <w:r>
        <w:fldChar w:fldCharType="separate"/>
      </w:r>
      <w:r>
        <w:rPr>
          <w:rStyle w:val="Hyperlink"/>
          <w:rFonts w:hint="eastAsia"/>
        </w:rPr>
        <w:t>7. 合同授予</w:t>
      </w:r>
      <w:r>
        <w:rPr>
          <w:rStyle w:val="Hyperlink"/>
        </w:rPr>
        <w:tab/>
      </w:r>
      <w:r>
        <w:fldChar w:fldCharType="begin"/>
      </w:r>
      <w:r>
        <w:rPr>
          <w:rStyle w:val="Hyperlink"/>
        </w:rPr>
        <w:instrText xml:space="preserve"> PAGEREF _Toc256000125 \h </w:instrText>
      </w:r>
      <w:r>
        <w:fldChar w:fldCharType="separate"/>
      </w:r>
      <w:r>
        <w:rPr>
          <w:rStyle w:val="Hyperlink"/>
        </w:rPr>
        <w:t>78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"_Toc256000126" </w:instrText>
      </w:r>
      <w:r>
        <w:fldChar w:fldCharType="separate"/>
      </w:r>
      <w:r>
        <w:rPr>
          <w:rStyle w:val="Hyperlink"/>
          <w:rFonts w:hint="eastAsia"/>
        </w:rPr>
        <w:t>7.1 确定中标人</w:t>
      </w:r>
      <w:r>
        <w:rPr>
          <w:rStyle w:val="Hyperlink"/>
        </w:rPr>
        <w:tab/>
      </w:r>
      <w:r>
        <w:fldChar w:fldCharType="begin"/>
      </w:r>
      <w:r>
        <w:rPr>
          <w:rStyle w:val="Hyperlink"/>
        </w:rPr>
        <w:instrText xml:space="preserve"> PAGEREF _Toc256000126 \h </w:instrText>
      </w:r>
      <w:r>
        <w:fldChar w:fldCharType="separate"/>
      </w:r>
      <w:r>
        <w:rPr>
          <w:rStyle w:val="Hyperlink"/>
        </w:rPr>
        <w:t>78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"_Toc256000127" </w:instrText>
      </w:r>
      <w:r>
        <w:fldChar w:fldCharType="separate"/>
      </w:r>
      <w:r>
        <w:rPr>
          <w:rStyle w:val="Hyperlink"/>
          <w:rFonts w:hint="eastAsia"/>
        </w:rPr>
        <w:t>7.2 公示中标结果</w:t>
      </w:r>
      <w:r>
        <w:rPr>
          <w:rStyle w:val="Hyperlink"/>
        </w:rPr>
        <w:tab/>
      </w:r>
      <w:r>
        <w:fldChar w:fldCharType="begin"/>
      </w:r>
      <w:r>
        <w:rPr>
          <w:rStyle w:val="Hyperlink"/>
        </w:rPr>
        <w:instrText xml:space="preserve"> PAGEREF _Toc256000127 \h </w:instrText>
      </w:r>
      <w:r>
        <w:fldChar w:fldCharType="separate"/>
      </w:r>
      <w:r>
        <w:rPr>
          <w:rStyle w:val="Hyperlink"/>
        </w:rPr>
        <w:t>78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"_Toc256000128" </w:instrText>
      </w:r>
      <w:r>
        <w:fldChar w:fldCharType="separate"/>
      </w:r>
      <w:r>
        <w:rPr>
          <w:rStyle w:val="Hyperlink"/>
          <w:rFonts w:hint="eastAsia"/>
        </w:rPr>
        <w:t>7.3</w:t>
      </w:r>
      <w:r>
        <w:rPr>
          <w:rStyle w:val="Hyperlink"/>
          <w:rFonts w:ascii="Calibri" w:hint="eastAsia"/>
        </w:rPr>
        <w:t>中标通知书</w:t>
      </w:r>
      <w:r>
        <w:rPr>
          <w:rStyle w:val="Hyperlink"/>
        </w:rPr>
        <w:tab/>
      </w:r>
      <w:r>
        <w:fldChar w:fldCharType="begin"/>
      </w:r>
      <w:r>
        <w:rPr>
          <w:rStyle w:val="Hyperlink"/>
        </w:rPr>
        <w:instrText xml:space="preserve"> PAGEREF _Toc256000128 \h </w:instrText>
      </w:r>
      <w:r>
        <w:fldChar w:fldCharType="separate"/>
      </w:r>
      <w:r>
        <w:rPr>
          <w:rStyle w:val="Hyperlink"/>
        </w:rPr>
        <w:t>78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"_Toc256000129" </w:instrText>
      </w:r>
      <w:r>
        <w:fldChar w:fldCharType="separate"/>
      </w:r>
      <w:r>
        <w:rPr>
          <w:rStyle w:val="Hyperlink"/>
          <w:rFonts w:hint="eastAsia"/>
        </w:rPr>
        <w:t>7.4 履约担保</w:t>
      </w:r>
      <w:r>
        <w:rPr>
          <w:rStyle w:val="Hyperlink"/>
        </w:rPr>
        <w:tab/>
      </w:r>
      <w:r>
        <w:fldChar w:fldCharType="begin"/>
      </w:r>
      <w:r>
        <w:rPr>
          <w:rStyle w:val="Hyperlink"/>
        </w:rPr>
        <w:instrText xml:space="preserve"> PAGEREF _Toc256000129 \h </w:instrText>
      </w:r>
      <w:r>
        <w:fldChar w:fldCharType="separate"/>
      </w:r>
      <w:r>
        <w:rPr>
          <w:rStyle w:val="Hyperlink"/>
        </w:rPr>
        <w:t>78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"_Toc256000130" </w:instrText>
      </w:r>
      <w:r>
        <w:fldChar w:fldCharType="separate"/>
      </w:r>
      <w:r>
        <w:rPr>
          <w:rStyle w:val="Hyperlink"/>
          <w:rFonts w:hint="eastAsia"/>
        </w:rPr>
        <w:t>7.5 签订合同</w:t>
      </w:r>
      <w:r>
        <w:rPr>
          <w:rStyle w:val="Hyperlink"/>
        </w:rPr>
        <w:tab/>
      </w:r>
      <w:r>
        <w:fldChar w:fldCharType="begin"/>
      </w:r>
      <w:r>
        <w:rPr>
          <w:rStyle w:val="Hyperlink"/>
        </w:rPr>
        <w:instrText xml:space="preserve"> PAGEREF _Toc256000130 \h </w:instrText>
      </w:r>
      <w:r>
        <w:fldChar w:fldCharType="separate"/>
      </w:r>
      <w:r>
        <w:rPr>
          <w:rStyle w:val="Hyperlink"/>
        </w:rPr>
        <w:t>78</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"_Toc256000131" </w:instrText>
      </w:r>
      <w:r>
        <w:fldChar w:fldCharType="separate"/>
      </w:r>
      <w:r>
        <w:rPr>
          <w:rStyle w:val="Hyperlink"/>
          <w:rFonts w:hint="eastAsia"/>
        </w:rPr>
        <w:t>7.6合同的履行</w:t>
      </w:r>
      <w:r>
        <w:rPr>
          <w:rStyle w:val="Hyperlink"/>
        </w:rPr>
        <w:tab/>
      </w:r>
      <w:r>
        <w:fldChar w:fldCharType="begin"/>
      </w:r>
      <w:r>
        <w:rPr>
          <w:rStyle w:val="Hyperlink"/>
        </w:rPr>
        <w:instrText xml:space="preserve"> PAGEREF _Toc256000131 \h </w:instrText>
      </w:r>
      <w:r>
        <w:fldChar w:fldCharType="separate"/>
      </w:r>
      <w:r>
        <w:rPr>
          <w:rStyle w:val="Hyperlink"/>
        </w:rPr>
        <w:t>79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"_Toc256000132" </w:instrText>
      </w:r>
      <w:r>
        <w:fldChar w:fldCharType="separate"/>
      </w:r>
      <w:r>
        <w:rPr>
          <w:rStyle w:val="Hyperlink"/>
          <w:rFonts w:hint="eastAsia"/>
        </w:rPr>
        <w:t>7.7</w:t>
      </w:r>
      <w:r>
        <w:rPr>
          <w:rStyle w:val="Hyperlink"/>
          <w:rFonts w:ascii="Calibri" w:hint="eastAsia"/>
        </w:rPr>
        <w:t>招标代理服务费</w:t>
      </w:r>
      <w:r>
        <w:rPr>
          <w:rStyle w:val="Hyperlink"/>
        </w:rPr>
        <w:tab/>
      </w:r>
      <w:r>
        <w:fldChar w:fldCharType="begin"/>
      </w:r>
      <w:r>
        <w:rPr>
          <w:rStyle w:val="Hyperlink"/>
        </w:rPr>
        <w:instrText xml:space="preserve"> PAGEREF _Toc256000132 \h </w:instrText>
      </w:r>
      <w:r>
        <w:fldChar w:fldCharType="separate"/>
      </w:r>
      <w:r>
        <w:rPr>
          <w:rStyle w:val="Hyperlink"/>
        </w:rPr>
        <w:t>79</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"_Toc256000133" </w:instrText>
      </w:r>
      <w:r>
        <w:fldChar w:fldCharType="separate"/>
      </w:r>
      <w:r>
        <w:rPr>
          <w:rStyle w:val="Hyperlink"/>
          <w:rFonts w:hint="eastAsia"/>
        </w:rPr>
        <w:t>8.政府采购政策</w:t>
      </w:r>
      <w:r>
        <w:rPr>
          <w:rStyle w:val="Hyperlink"/>
        </w:rPr>
        <w:tab/>
      </w:r>
      <w:r>
        <w:fldChar w:fldCharType="begin"/>
      </w:r>
      <w:r>
        <w:rPr>
          <w:rStyle w:val="Hyperlink"/>
        </w:rPr>
        <w:instrText xml:space="preserve"> PAGEREF _Toc256000133 \h </w:instrText>
      </w:r>
      <w:r>
        <w:fldChar w:fldCharType="separate"/>
      </w:r>
      <w:r>
        <w:rPr>
          <w:rStyle w:val="Hyperlink"/>
        </w:rPr>
        <w:t>79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"_Toc256000134" </w:instrText>
      </w:r>
      <w:r>
        <w:fldChar w:fldCharType="separate"/>
      </w:r>
      <w:r>
        <w:rPr>
          <w:rStyle w:val="Hyperlink"/>
          <w:rFonts w:hint="eastAsia"/>
        </w:rPr>
        <w:t>8.1</w:t>
      </w:r>
      <w:r>
        <w:rPr>
          <w:rStyle w:val="Hyperlink"/>
          <w:rFonts w:ascii="Calibri" w:hint="eastAsia"/>
        </w:rPr>
        <w:t>节能产品政府采购</w:t>
      </w:r>
      <w:r>
        <w:rPr>
          <w:rStyle w:val="Hyperlink"/>
        </w:rPr>
        <w:tab/>
      </w:r>
      <w:r>
        <w:fldChar w:fldCharType="begin"/>
      </w:r>
      <w:r>
        <w:rPr>
          <w:rStyle w:val="Hyperlink"/>
        </w:rPr>
        <w:instrText xml:space="preserve"> PAGEREF _Toc256000134 \h </w:instrText>
      </w:r>
      <w:r>
        <w:fldChar w:fldCharType="separate"/>
      </w:r>
      <w:r>
        <w:rPr>
          <w:rStyle w:val="Hyperlink"/>
        </w:rPr>
        <w:t>79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"_Toc256000135" </w:instrText>
      </w:r>
      <w:r>
        <w:fldChar w:fldCharType="separate"/>
      </w:r>
      <w:r>
        <w:rPr>
          <w:rStyle w:val="Hyperlink"/>
          <w:rFonts w:hint="eastAsia"/>
        </w:rPr>
        <w:t>8.2</w:t>
      </w:r>
      <w:r>
        <w:rPr>
          <w:rStyle w:val="Hyperlink"/>
          <w:rFonts w:ascii="Calibri" w:hint="eastAsia"/>
        </w:rPr>
        <w:t>环境标志产品政府采购</w:t>
      </w:r>
      <w:r>
        <w:rPr>
          <w:rStyle w:val="Hyperlink"/>
        </w:rPr>
        <w:tab/>
      </w:r>
      <w:r>
        <w:fldChar w:fldCharType="begin"/>
      </w:r>
      <w:r>
        <w:rPr>
          <w:rStyle w:val="Hyperlink"/>
        </w:rPr>
        <w:instrText xml:space="preserve"> PAGEREF _Toc256000135 \h </w:instrText>
      </w:r>
      <w:r>
        <w:fldChar w:fldCharType="separate"/>
      </w:r>
      <w:r>
        <w:rPr>
          <w:rStyle w:val="Hyperlink"/>
        </w:rPr>
        <w:t>79</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"_Toc256000136" </w:instrText>
      </w:r>
      <w:r>
        <w:fldChar w:fldCharType="separate"/>
      </w:r>
      <w:r>
        <w:rPr>
          <w:rStyle w:val="Hyperlink"/>
          <w:rFonts w:hint="eastAsia"/>
        </w:rPr>
        <w:t>8.3小微</w:t>
      </w:r>
      <w:r>
        <w:rPr>
          <w:rStyle w:val="Hyperlink"/>
          <w:rFonts w:ascii="Calibri" w:hint="eastAsia"/>
        </w:rPr>
        <w:t>企业评审价格扣除</w:t>
      </w:r>
      <w:r>
        <w:rPr>
          <w:rStyle w:val="Hyperlink"/>
        </w:rPr>
        <w:tab/>
      </w:r>
      <w:r>
        <w:fldChar w:fldCharType="begin"/>
      </w:r>
      <w:r>
        <w:rPr>
          <w:rStyle w:val="Hyperlink"/>
        </w:rPr>
        <w:instrText xml:space="preserve"> PAGEREF _Toc256000136 \h </w:instrText>
      </w:r>
      <w:r>
        <w:fldChar w:fldCharType="separate"/>
      </w:r>
      <w:r>
        <w:rPr>
          <w:rStyle w:val="Hyperlink"/>
        </w:rPr>
        <w:t>79</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"_Toc256000137" </w:instrText>
      </w:r>
      <w:r>
        <w:fldChar w:fldCharType="separate"/>
      </w:r>
      <w:r>
        <w:rPr>
          <w:rStyle w:val="Hyperlink"/>
          <w:rFonts w:hint="eastAsia"/>
        </w:rPr>
        <w:t>9. 纪律和监督</w:t>
      </w:r>
      <w:r>
        <w:rPr>
          <w:rStyle w:val="Hyperlink"/>
        </w:rPr>
        <w:tab/>
      </w:r>
      <w:r>
        <w:fldChar w:fldCharType="begin"/>
      </w:r>
      <w:r>
        <w:rPr>
          <w:rStyle w:val="Hyperlink"/>
        </w:rPr>
        <w:instrText xml:space="preserve"> PAGEREF _Toc256000137 \h </w:instrText>
      </w:r>
      <w:r>
        <w:fldChar w:fldCharType="separate"/>
      </w:r>
      <w:r>
        <w:rPr>
          <w:rStyle w:val="Hyperlink"/>
        </w:rPr>
        <w:t>80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"_Toc256000138" </w:instrText>
      </w:r>
      <w:r>
        <w:fldChar w:fldCharType="separate"/>
      </w:r>
      <w:r>
        <w:rPr>
          <w:rStyle w:val="Hyperlink"/>
          <w:rFonts w:hint="eastAsia"/>
        </w:rPr>
        <w:t>9.1 对采购人和采购代理机构的纪律要求</w:t>
      </w:r>
      <w:r>
        <w:rPr>
          <w:rStyle w:val="Hyperlink"/>
        </w:rPr>
        <w:tab/>
      </w:r>
      <w:r>
        <w:fldChar w:fldCharType="begin"/>
      </w:r>
      <w:r>
        <w:rPr>
          <w:rStyle w:val="Hyperlink"/>
        </w:rPr>
        <w:instrText xml:space="preserve"> PAGEREF _Toc256000138 \h </w:instrText>
      </w:r>
      <w:r>
        <w:fldChar w:fldCharType="separate"/>
      </w:r>
      <w:r>
        <w:rPr>
          <w:rStyle w:val="Hyperlink"/>
        </w:rPr>
        <w:t>80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"_Toc256000139" </w:instrText>
      </w:r>
      <w:r>
        <w:fldChar w:fldCharType="separate"/>
      </w:r>
      <w:r>
        <w:rPr>
          <w:rStyle w:val="Hyperlink"/>
          <w:rFonts w:hint="eastAsia"/>
        </w:rPr>
        <w:t>9.2 对投标人的纪律要求</w:t>
      </w:r>
      <w:r>
        <w:rPr>
          <w:rStyle w:val="Hyperlink"/>
        </w:rPr>
        <w:tab/>
      </w:r>
      <w:r>
        <w:fldChar w:fldCharType="begin"/>
      </w:r>
      <w:r>
        <w:rPr>
          <w:rStyle w:val="Hyperlink"/>
        </w:rPr>
        <w:instrText xml:space="preserve"> PAGEREF _Toc256000139 \h </w:instrText>
      </w:r>
      <w:r>
        <w:fldChar w:fldCharType="separate"/>
      </w:r>
      <w:r>
        <w:rPr>
          <w:rStyle w:val="Hyperlink"/>
        </w:rPr>
        <w:t>80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"_Toc256000140" </w:instrText>
      </w:r>
      <w:r>
        <w:fldChar w:fldCharType="separate"/>
      </w:r>
      <w:r>
        <w:rPr>
          <w:rStyle w:val="Hyperlink"/>
          <w:rFonts w:hint="eastAsia"/>
        </w:rPr>
        <w:t>9.3 对评标委员会成员的纪律要求</w:t>
      </w:r>
      <w:r>
        <w:rPr>
          <w:rStyle w:val="Hyperlink"/>
        </w:rPr>
        <w:tab/>
      </w:r>
      <w:r>
        <w:fldChar w:fldCharType="begin"/>
      </w:r>
      <w:r>
        <w:rPr>
          <w:rStyle w:val="Hyperlink"/>
        </w:rPr>
        <w:instrText xml:space="preserve"> PAGEREF _Toc256000140 \h </w:instrText>
      </w:r>
      <w:r>
        <w:fldChar w:fldCharType="separate"/>
      </w:r>
      <w:r>
        <w:rPr>
          <w:rStyle w:val="Hyperlink"/>
        </w:rPr>
        <w:t>80</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"_Toc256000141" </w:instrText>
      </w:r>
      <w:r>
        <w:fldChar w:fldCharType="separate"/>
      </w:r>
      <w:r>
        <w:rPr>
          <w:rStyle w:val="Hyperlink"/>
          <w:rFonts w:hint="eastAsia"/>
        </w:rPr>
        <w:t>9.4 对与评标活动有关的工作人员的纪律要求</w:t>
      </w:r>
      <w:r>
        <w:rPr>
          <w:rStyle w:val="Hyperlink"/>
        </w:rPr>
        <w:tab/>
      </w:r>
      <w:r>
        <w:fldChar w:fldCharType="begin"/>
      </w:r>
      <w:r>
        <w:rPr>
          <w:rStyle w:val="Hyperlink"/>
        </w:rPr>
        <w:instrText xml:space="preserve"> PAGEREF _Toc256000141 \h </w:instrText>
      </w:r>
      <w:r>
        <w:fldChar w:fldCharType="separate"/>
      </w:r>
      <w:r>
        <w:rPr>
          <w:rStyle w:val="Hyperlink"/>
        </w:rPr>
        <w:t>80</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"_Toc256000142" </w:instrText>
      </w:r>
      <w:r>
        <w:fldChar w:fldCharType="separate"/>
      </w:r>
      <w:r>
        <w:rPr>
          <w:rStyle w:val="Hyperlink"/>
        </w:rPr>
        <w:t>10.质疑与投诉</w:t>
      </w:r>
      <w:r>
        <w:rPr>
          <w:rStyle w:val="Hyperlink"/>
        </w:rPr>
        <w:tab/>
      </w:r>
      <w:r>
        <w:fldChar w:fldCharType="begin"/>
      </w:r>
      <w:r>
        <w:rPr>
          <w:rStyle w:val="Hyperlink"/>
        </w:rPr>
        <w:instrText xml:space="preserve"> PAGEREF _Toc256000142 \h </w:instrText>
      </w:r>
      <w:r>
        <w:fldChar w:fldCharType="separate"/>
      </w:r>
      <w:r>
        <w:rPr>
          <w:rStyle w:val="Hyperlink"/>
        </w:rPr>
        <w:t>81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"_Toc256000143" </w:instrText>
      </w:r>
      <w:r>
        <w:fldChar w:fldCharType="separate"/>
      </w:r>
      <w:r>
        <w:rPr>
          <w:rStyle w:val="Hyperlink"/>
          <w:rFonts w:hint="eastAsia"/>
        </w:rPr>
        <w:t>10.1</w:t>
      </w:r>
      <w:r>
        <w:rPr>
          <w:rStyle w:val="Hyperlink"/>
          <w:rFonts w:ascii="Calibri" w:hint="eastAsia"/>
        </w:rPr>
        <w:t>询问</w:t>
      </w:r>
      <w:r>
        <w:rPr>
          <w:rStyle w:val="Hyperlink"/>
        </w:rPr>
        <w:tab/>
      </w:r>
      <w:r>
        <w:fldChar w:fldCharType="begin"/>
      </w:r>
      <w:r>
        <w:rPr>
          <w:rStyle w:val="Hyperlink"/>
        </w:rPr>
        <w:instrText xml:space="preserve"> PAGEREF _Toc256000143 \h </w:instrText>
      </w:r>
      <w:r>
        <w:fldChar w:fldCharType="separate"/>
      </w:r>
      <w:r>
        <w:rPr>
          <w:rStyle w:val="Hyperlink"/>
        </w:rPr>
        <w:t>81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"_Toc256000144" </w:instrText>
      </w:r>
      <w:r>
        <w:fldChar w:fldCharType="separate"/>
      </w:r>
      <w:r>
        <w:rPr>
          <w:rStyle w:val="Hyperlink"/>
          <w:rFonts w:hint="eastAsia"/>
        </w:rPr>
        <w:t>10.2</w:t>
      </w:r>
      <w:r>
        <w:rPr>
          <w:rStyle w:val="Hyperlink"/>
          <w:rFonts w:ascii="Calibri" w:hint="eastAsia"/>
        </w:rPr>
        <w:t>质疑</w:t>
      </w:r>
      <w:r>
        <w:rPr>
          <w:rStyle w:val="Hyperlink"/>
        </w:rPr>
        <w:tab/>
      </w:r>
      <w:r>
        <w:fldChar w:fldCharType="begin"/>
      </w:r>
      <w:r>
        <w:rPr>
          <w:rStyle w:val="Hyperlink"/>
        </w:rPr>
        <w:instrText xml:space="preserve"> PAGEREF _Toc256000144 \h </w:instrText>
      </w:r>
      <w:r>
        <w:fldChar w:fldCharType="separate"/>
      </w:r>
      <w:r>
        <w:rPr>
          <w:rStyle w:val="Hyperlink"/>
        </w:rPr>
        <w:t>81</w:t>
      </w:r>
      <w:r>
        <w:fldChar w:fldCharType="end"/>
      </w:r>
      <w:r>
        <w:fldChar w:fldCharType="end"/>
      </w:r>
    </w:p>
    <w:p>
      <w:pPr>
        <w:pStyle w:val="TOC3"/>
        <w:tabs>
          <w:tab w:val="right" w:leader="dot" w:pos="8296"/>
        </w:tabs>
        <w:rPr>
          <w:rFonts w:asciiTheme="minorHAnsi" w:hAnsiTheme="minorHAnsi"/>
          <w:noProof/>
          <w:sz w:val="22"/>
        </w:rPr>
      </w:pPr>
      <w:r>
        <w:fldChar w:fldCharType="begin"/>
      </w:r>
      <w:r>
        <w:rPr>
          <w:rStyle w:val="Hyperlink"/>
        </w:rPr>
        <w:instrText xml:space="preserve"> HYPERLINK \l "_Toc256000145" </w:instrText>
      </w:r>
      <w:r>
        <w:fldChar w:fldCharType="separate"/>
      </w:r>
      <w:r>
        <w:rPr>
          <w:rStyle w:val="Hyperlink"/>
          <w:rFonts w:hint="eastAsia"/>
        </w:rPr>
        <w:t>10.3</w:t>
      </w:r>
      <w:r>
        <w:rPr>
          <w:rStyle w:val="Hyperlink"/>
          <w:rFonts w:ascii="Calibri" w:hint="eastAsia"/>
        </w:rPr>
        <w:t>投诉</w:t>
      </w:r>
      <w:r>
        <w:rPr>
          <w:rStyle w:val="Hyperlink"/>
        </w:rPr>
        <w:tab/>
      </w:r>
      <w:r>
        <w:fldChar w:fldCharType="begin"/>
      </w:r>
      <w:r>
        <w:rPr>
          <w:rStyle w:val="Hyperlink"/>
        </w:rPr>
        <w:instrText xml:space="preserve"> PAGEREF _Toc256000145 \h </w:instrText>
      </w:r>
      <w:r>
        <w:fldChar w:fldCharType="separate"/>
      </w:r>
      <w:r>
        <w:rPr>
          <w:rStyle w:val="Hyperlink"/>
        </w:rPr>
        <w:t>81</w:t>
      </w:r>
      <w:r>
        <w:fldChar w:fldCharType="end"/>
      </w:r>
      <w:r>
        <w:fldChar w:fldCharType="end"/>
      </w:r>
    </w:p>
    <w:p>
      <w:pPr>
        <w:pStyle w:val="TOC1"/>
        <w:tabs>
          <w:tab w:val="right" w:leader="dot" w:pos="8296"/>
        </w:tabs>
        <w:rPr>
          <w:rFonts w:asciiTheme="minorHAnsi" w:hAnsiTheme="minorHAnsi"/>
          <w:noProof/>
          <w:sz w:val="22"/>
        </w:rPr>
      </w:pPr>
      <w:r>
        <w:fldChar w:fldCharType="begin"/>
      </w:r>
      <w:r>
        <w:rPr>
          <w:rStyle w:val="Hyperlink"/>
        </w:rPr>
        <w:instrText xml:space="preserve"> HYPERLINK \l "_Toc256000146" </w:instrText>
      </w:r>
      <w:r>
        <w:fldChar w:fldCharType="separate"/>
      </w:r>
      <w:r>
        <w:rPr>
          <w:rStyle w:val="Hyperlink"/>
          <w:rFonts w:hint="eastAsia"/>
        </w:rPr>
        <w:t>第八章 附件</w:t>
      </w:r>
      <w:r>
        <w:rPr>
          <w:rStyle w:val="Hyperlink"/>
        </w:rPr>
        <w:tab/>
      </w:r>
      <w:r>
        <w:fldChar w:fldCharType="begin"/>
      </w:r>
      <w:r>
        <w:rPr>
          <w:rStyle w:val="Hyperlink"/>
        </w:rPr>
        <w:instrText xml:space="preserve"> PAGEREF _Toc256000146 \h </w:instrText>
      </w:r>
      <w:r>
        <w:fldChar w:fldCharType="separate"/>
      </w:r>
      <w:r>
        <w:rPr>
          <w:rStyle w:val="Hyperlink"/>
        </w:rPr>
        <w:t>82</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"_Toc256000147" </w:instrText>
      </w:r>
      <w:r>
        <w:fldChar w:fldCharType="separate"/>
      </w:r>
      <w:r>
        <w:rPr>
          <w:rStyle w:val="Hyperlink"/>
          <w:rFonts w:hint="eastAsia"/>
        </w:rPr>
        <w:t>附件说明</w:t>
      </w:r>
      <w:r>
        <w:rPr>
          <w:rStyle w:val="Hyperlink"/>
        </w:rPr>
        <w:tab/>
      </w:r>
      <w:r>
        <w:fldChar w:fldCharType="begin"/>
      </w:r>
      <w:r>
        <w:rPr>
          <w:rStyle w:val="Hyperlink"/>
        </w:rPr>
        <w:instrText xml:space="preserve"> PAGEREF _Toc256000147 \h </w:instrText>
      </w:r>
      <w:r>
        <w:fldChar w:fldCharType="separate"/>
      </w:r>
      <w:r>
        <w:rPr>
          <w:rStyle w:val="Hyperlink"/>
        </w:rPr>
        <w:t>82</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"_Toc256000148" </w:instrText>
      </w:r>
      <w:r>
        <w:fldChar w:fldCharType="separate"/>
      </w:r>
      <w:r>
        <w:rPr>
          <w:rStyle w:val="Hyperlink"/>
          <w:rFonts w:hint="eastAsia"/>
        </w:rPr>
        <w:t>附件1：</w:t>
      </w:r>
      <w:r>
        <w:rPr>
          <w:rStyle w:val="Hyperlink"/>
        </w:rPr>
        <w:t>询问函</w:t>
      </w:r>
      <w:r>
        <w:rPr>
          <w:rStyle w:val="Hyperlink"/>
        </w:rPr>
        <w:tab/>
      </w:r>
      <w:r>
        <w:fldChar w:fldCharType="begin"/>
      </w:r>
      <w:r>
        <w:rPr>
          <w:rStyle w:val="Hyperlink"/>
        </w:rPr>
        <w:instrText xml:space="preserve"> PAGEREF _Toc256000148 \h </w:instrText>
      </w:r>
      <w:r>
        <w:fldChar w:fldCharType="separate"/>
      </w:r>
      <w:r>
        <w:rPr>
          <w:rStyle w:val="Hyperlink"/>
        </w:rPr>
        <w:t>83</w:t>
      </w:r>
      <w:r>
        <w:fldChar w:fldCharType="end"/>
      </w:r>
      <w:r>
        <w:fldChar w:fldCharType="end"/>
      </w:r>
    </w:p>
    <w:p>
      <w:pPr>
        <w:pStyle w:val="TOC2"/>
        <w:tabs>
          <w:tab w:val="right" w:leader="dot" w:pos="8296"/>
        </w:tabs>
        <w:rPr>
          <w:rFonts w:asciiTheme="minorHAnsi" w:hAnsiTheme="minorHAnsi"/>
          <w:noProof/>
          <w:sz w:val="22"/>
        </w:rPr>
      </w:pPr>
      <w:r>
        <w:fldChar w:fldCharType="begin"/>
      </w:r>
      <w:r>
        <w:rPr>
          <w:rStyle w:val="Hyperlink"/>
        </w:rPr>
        <w:instrText xml:space="preserve"> HYPERLINK \l "_Toc256000149" </w:instrText>
      </w:r>
      <w:r>
        <w:fldChar w:fldCharType="separate"/>
      </w:r>
      <w:r>
        <w:rPr>
          <w:rStyle w:val="Hyperlink"/>
          <w:rFonts w:hint="eastAsia"/>
        </w:rPr>
        <w:t>附件2：质疑函</w:t>
      </w:r>
      <w:r>
        <w:rPr>
          <w:rStyle w:val="Hyperlink"/>
        </w:rPr>
        <w:tab/>
      </w:r>
      <w:r>
        <w:fldChar w:fldCharType="begin"/>
      </w:r>
      <w:r>
        <w:rPr>
          <w:rStyle w:val="Hyperlink"/>
        </w:rPr>
        <w:instrText xml:space="preserve"> PAGEREF _Toc256000149 \h </w:instrText>
      </w:r>
      <w:r>
        <w:fldChar w:fldCharType="separate"/>
      </w:r>
      <w:r>
        <w:rPr>
          <w:rStyle w:val="Hyperlink"/>
        </w:rPr>
        <w:t>84</w:t>
      </w:r>
      <w:r>
        <w:fldChar w:fldCharType="end"/>
      </w:r>
      <w:r>
        <w:fldChar w:fldCharType="end"/>
      </w:r>
    </w:p>
    <w:p>
      <w:pPr>
        <w:pStyle w:val="Heading1"/>
        <w:jc w:val="center"/>
        <w:rPr>
          <w:rFonts w:ascii="宋体" w:hAnsi="宋体"/>
          <w:bCs w:val="0"/>
          <w:iCs/>
          <w:caps/>
          <w:kern w:val="2"/>
          <w:szCs w:val="20"/>
        </w:rPr>
        <w:sectPr>
          <w:footerReference w:type="default" r:id="rId8"/>
          <w:pgSz w:w="11906" w:h="16838"/>
          <w:pgMar w:top="1440" w:right="1800" w:bottom="1440" w:left="1800" w:header="851" w:footer="992" w:gutter="0"/>
          <w:pgNumType w:fmt="decimal"/>
          <w:cols w:num="1" w:space="720"/>
          <w:docGrid w:type="lines" w:linePitch="312" w:charSpace="0"/>
        </w:sectPr>
      </w:pPr>
      <w:r>
        <w:rPr>
          <w:rFonts w:ascii="宋体" w:hAnsi="宋体"/>
          <w:bCs w:val="0"/>
          <w:iCs/>
          <w:caps/>
          <w:kern w:val="2"/>
          <w:szCs w:val="20"/>
        </w:rPr>
        <w:fldChar w:fldCharType="end"/>
      </w:r>
      <w:bookmarkEnd w:id="39"/>
      <w:bookmarkEnd w:id="40"/>
      <w:bookmarkEnd w:id="41"/>
      <w:bookmarkStart w:id="42" w:name="_Toc152045511"/>
      <w:bookmarkStart w:id="43" w:name="_Toc179632527"/>
      <w:bookmarkStart w:id="44" w:name="_Toc152042287"/>
      <w:bookmarkStart w:id="45" w:name="_Toc144974479"/>
    </w:p>
    <w:p>
      <w:pPr>
        <w:keepNext/>
        <w:keepLines/>
        <w:spacing w:line="400" w:lineRule="exact"/>
        <w:jc w:val="center"/>
        <w:outlineLvl w:val="0"/>
        <w:rPr>
          <w:rFonts w:ascii="宋体" w:hAnsi="宋体" w:cs="宋体"/>
          <w:szCs w:val="21"/>
        </w:rPr>
      </w:pPr>
      <w:bookmarkStart w:id="46" w:name="_Toc16772"/>
      <w:bookmarkStart w:id="47" w:name="_Toc29128"/>
      <w:bookmarkStart w:id="48" w:name="_Toc31011"/>
      <w:bookmarkStart w:id="49" w:name="_Toc256000007"/>
      <w:r>
        <w:rPr>
          <w:rFonts w:ascii="宋体" w:hAnsi="宋体" w:cs="宋体" w:hint="eastAsia"/>
          <w:kern w:val="0"/>
          <w:sz w:val="32"/>
          <w:szCs w:val="32"/>
        </w:rPr>
        <w:t>特别警示条款</w:t>
      </w:r>
      <w:bookmarkEnd w:id="49"/>
      <w:bookmarkEnd w:id="46"/>
      <w:bookmarkEnd w:id="47"/>
      <w:bookmarkEnd w:id="48"/>
    </w:p>
    <w:p>
      <w:pPr>
        <w:pStyle w:val="ListParagraph"/>
        <w:keepNext/>
        <w:keepLines/>
        <w:spacing w:line="400" w:lineRule="exact"/>
        <w:ind w:left="1271" w:firstLine="0" w:firstLineChars="0"/>
        <w:rPr>
          <w:rFonts w:ascii="宋体" w:hAnsi="宋体" w:cs="宋体"/>
          <w:szCs w:val="21"/>
        </w:rPr>
      </w:pPr>
    </w:p>
    <w:p>
      <w:pPr>
        <w:pStyle w:val="ListParagraph"/>
        <w:keepNext/>
        <w:keepLines/>
        <w:pageBreakBefore w:val="0"/>
        <w:widowControl w:val="0"/>
        <w:numPr>
          <w:ilvl w:val="0"/>
          <w:numId w:val="3"/>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根据《深圳经济特区政府采购条例》（以下简称“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在采购活动中应当回避而未回避的；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未按本条例规定签订、履行采购合同，造成严重后果的；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隐瞒真实情况，提供虚假资料的；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以非法手段排斥其他供应商参与竞争的；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与其他采购参加人串通投标的；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恶意投诉的；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向采购项目相关人行贿或者提供其他不当利益的；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阻碍、抗拒主管部门监督检查的；</w:t>
      </w:r>
    </w:p>
    <w:p>
      <w:pPr>
        <w:pStyle w:val="ListParagraph"/>
        <w:keepNext/>
        <w:keepLines/>
        <w:pageBreakBefore w:val="0"/>
        <w:widowControl w:val="0"/>
        <w:numPr>
          <w:ilvl w:val="0"/>
          <w:numId w:val="4"/>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其他违反本条例规定的行为。</w:t>
      </w:r>
    </w:p>
    <w:p>
      <w:pPr>
        <w:pStyle w:val="ListParagraph"/>
        <w:keepNext/>
        <w:keepLines/>
        <w:pageBreakBefore w:val="0"/>
        <w:widowControl w:val="0"/>
        <w:numPr>
          <w:ilvl w:val="0"/>
          <w:numId w:val="3"/>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根据《深圳经济特区政府采购条例实施细则》第七十九条规定，供应商有下列情形之一的，属于采购条例所称的串通投标行为，按照采购条例第五十七条有关规定处理：</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投标供应商之间相互约定给予未中标的供应商利益补偿。</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不同投标供应商的法定代表人、主要经营负责人、项目投标授权代表人、项目负责人、主要技术人员为同一人、属同一单位或者在同一单位缴纳社会保险。</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不同投标供应商的投标文件由同一单位或者同一人编制，或者由同一人分阶段参与编制的。</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不同投标供应商的投标文件或部分投标文件相互混装。</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不同投标供应商的投标文件内容存在非正常一致。</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由同一单位工作人员为两家以上（含两家）供应商进行同一项投标活动的。</w:t>
      </w:r>
    </w:p>
    <w:p>
      <w:pPr>
        <w:pStyle w:val="ListParagraph"/>
        <w:keepNext/>
        <w:keepLines/>
        <w:pageBreakBefore w:val="0"/>
        <w:widowControl w:val="0"/>
        <w:numPr>
          <w:ilvl w:val="0"/>
          <w:numId w:val="5"/>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主管部门依照法律、法规认定的其他情形。</w:t>
      </w:r>
    </w:p>
    <w:p>
      <w:pPr>
        <w:pStyle w:val="ListParagraph"/>
        <w:keepNext/>
        <w:keepLines/>
        <w:pageBreakBefore w:val="0"/>
        <w:widowControl w:val="0"/>
        <w:numPr>
          <w:ilvl w:val="0"/>
          <w:numId w:val="3"/>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根据《深圳经济特区政府采购条例实施细则》第八十一条规定，供应商有下列情形之一的，属于隐瞒真实情况，提供虚假资料，按照采购条例第五十七条的有关规定处理：</w:t>
      </w:r>
    </w:p>
    <w:p>
      <w:pPr>
        <w:pStyle w:val="ListParagraph"/>
        <w:keepNext/>
        <w:keepLines/>
        <w:pageBreakBefore w:val="0"/>
        <w:widowControl w:val="0"/>
        <w:numPr>
          <w:ilvl w:val="0"/>
          <w:numId w:val="6"/>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通过转让或者租借等方式从其他单位获取资格或者资质证书投标的。</w:t>
      </w:r>
    </w:p>
    <w:p>
      <w:pPr>
        <w:pStyle w:val="ListParagraph"/>
        <w:keepNext/>
        <w:keepLines/>
        <w:pageBreakBefore w:val="0"/>
        <w:widowControl w:val="0"/>
        <w:numPr>
          <w:ilvl w:val="0"/>
          <w:numId w:val="6"/>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由其他单位或者其他单位负责人在投标供应商编制的投标文件上加盖印章或者签字的。</w:t>
      </w:r>
    </w:p>
    <w:p>
      <w:pPr>
        <w:pStyle w:val="ListParagraph"/>
        <w:keepNext/>
        <w:keepLines/>
        <w:pageBreakBefore w:val="0"/>
        <w:widowControl w:val="0"/>
        <w:numPr>
          <w:ilvl w:val="0"/>
          <w:numId w:val="6"/>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项目负责人或者主要技术人员不是本单位人员的。</w:t>
      </w:r>
    </w:p>
    <w:p>
      <w:pPr>
        <w:pStyle w:val="ListParagraph"/>
        <w:keepNext/>
        <w:keepLines/>
        <w:pageBreakBefore w:val="0"/>
        <w:widowControl w:val="0"/>
        <w:numPr>
          <w:ilvl w:val="0"/>
          <w:numId w:val="6"/>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投标保证金不是从投标供应商基本账户转出的。</w:t>
      </w:r>
    </w:p>
    <w:p>
      <w:pPr>
        <w:pStyle w:val="ListParagraph"/>
        <w:keepNext/>
        <w:keepLines/>
        <w:pageBreakBefore w:val="0"/>
        <w:widowControl w:val="0"/>
        <w:numPr>
          <w:ilvl w:val="0"/>
          <w:numId w:val="6"/>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其他隐瞒真实情况、提供虚假资料的行为。</w:t>
      </w:r>
    </w:p>
    <w:p>
      <w:pPr>
        <w:pStyle w:val="ListParagraph"/>
        <w:keepNext/>
        <w:keepLines/>
        <w:pageBreakBefore w:val="0"/>
        <w:widowControl w:val="0"/>
        <w:numPr>
          <w:ilvl w:val="0"/>
          <w:numId w:val="6"/>
        </w:numPr>
        <w:kinsoku/>
        <w:wordWrap/>
        <w:overflowPunct/>
        <w:topLinePunct w:val="0"/>
        <w:autoSpaceDE/>
        <w:autoSpaceDN/>
        <w:bidi w:val="0"/>
        <w:adjustRightInd/>
        <w:snapToGrid/>
        <w:spacing w:line="240" w:lineRule="auto"/>
        <w:ind w:left="0" w:hanging="840" w:hangingChars="400"/>
        <w:jc w:val="left"/>
        <w:textAlignment w:val="auto"/>
        <w:rPr>
          <w:rFonts w:ascii="宋体" w:hAnsi="宋体" w:cs="宋体"/>
          <w:szCs w:val="21"/>
        </w:rPr>
      </w:pPr>
      <w:r>
        <w:rPr>
          <w:rFonts w:ascii="宋体" w:hAnsi="宋体" w:cs="宋体" w:hint="eastAsia"/>
          <w:szCs w:val="21"/>
        </w:rPr>
        <w:t>投标供应商不能提供项目负责人或者主要技术人员的劳动合同、社会保险等劳动关系证明材料的，视为存在前款第（三）项规定的情形。</w:t>
      </w:r>
    </w:p>
    <w:p>
      <w:pPr>
        <w:pStyle w:val="ListParagraph"/>
        <w:keepNext/>
        <w:keepLines/>
        <w:pageBreakBefore w:val="0"/>
        <w:widowControl w:val="0"/>
        <w:numPr>
          <w:ilvl w:val="0"/>
          <w:numId w:val="3"/>
        </w:numPr>
        <w:kinsoku/>
        <w:wordWrap/>
        <w:overflowPunct/>
        <w:topLinePunct w:val="0"/>
        <w:autoSpaceDE/>
        <w:autoSpaceDN/>
        <w:bidi w:val="0"/>
        <w:adjustRightInd/>
        <w:snapToGrid/>
        <w:spacing w:line="240" w:lineRule="auto"/>
        <w:ind w:left="0" w:hanging="840" w:hangingChars="400"/>
        <w:jc w:val="left"/>
        <w:textAlignment w:val="auto"/>
        <w:rPr>
          <w:rFonts w:ascii="宋体" w:eastAsia="宋体" w:hAnsi="宋体" w:cs="宋体" w:hint="default"/>
          <w:color w:val="FF0000"/>
          <w:szCs w:val="21"/>
          <w:lang w:val="en-US" w:eastAsia="zh-CN"/>
        </w:rPr>
      </w:pPr>
      <w:r>
        <w:rPr>
          <w:rFonts w:ascii="宋体" w:eastAsia="宋体" w:hAnsi="宋体" w:cs="宋体" w:hint="eastAsia"/>
          <w:color w:val="FF0000"/>
          <w:szCs w:val="21"/>
          <w:lang w:val="en-US" w:eastAsia="zh-CN"/>
        </w:rPr>
        <w:t>电子投标注意事项</w:t>
      </w:r>
    </w:p>
    <w:p>
      <w:pPr>
        <w:pStyle w:val="ListParagraph"/>
        <w:keepNext/>
        <w:keepLines/>
        <w:pageBreakBefore w:val="0"/>
        <w:widowControl w:val="0"/>
        <w:numPr>
          <w:ilvl w:val="0"/>
          <w:numId w:val="7"/>
        </w:numPr>
        <w:kinsoku/>
        <w:wordWrap/>
        <w:overflowPunct/>
        <w:topLinePunct w:val="0"/>
        <w:autoSpaceDE/>
        <w:autoSpaceDN/>
        <w:bidi w:val="0"/>
        <w:adjustRightInd/>
        <w:snapToGrid/>
        <w:spacing w:line="240" w:lineRule="auto"/>
        <w:ind w:left="0" w:hanging="840" w:hangingChars="400"/>
        <w:jc w:val="left"/>
        <w:textAlignment w:val="auto"/>
        <w:rPr>
          <w:rFonts w:ascii="宋体" w:eastAsia="宋体" w:hAnsi="宋体" w:cs="宋体" w:hint="eastAsia"/>
          <w:color w:val="FF0000"/>
          <w:szCs w:val="21"/>
        </w:rPr>
      </w:pPr>
      <w:r>
        <w:rPr>
          <w:rFonts w:ascii="宋体" w:eastAsia="宋体" w:hAnsi="宋体" w:cs="宋体" w:hint="eastAsia"/>
          <w:color w:val="FF0000"/>
          <w:szCs w:val="21"/>
        </w:rPr>
        <w:t>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pPr>
        <w:pStyle w:val="ListParagraph"/>
        <w:keepNext/>
        <w:keepLines/>
        <w:pageBreakBefore w:val="0"/>
        <w:widowControl w:val="0"/>
        <w:numPr>
          <w:ilvl w:val="0"/>
          <w:numId w:val="7"/>
        </w:numPr>
        <w:kinsoku/>
        <w:wordWrap/>
        <w:overflowPunct/>
        <w:topLinePunct w:val="0"/>
        <w:autoSpaceDE/>
        <w:autoSpaceDN/>
        <w:bidi w:val="0"/>
        <w:adjustRightInd/>
        <w:snapToGrid/>
        <w:spacing w:line="240" w:lineRule="auto"/>
        <w:ind w:left="0" w:hanging="840" w:hangingChars="400"/>
        <w:jc w:val="left"/>
        <w:textAlignment w:val="auto"/>
        <w:rPr>
          <w:rFonts w:ascii="宋体" w:eastAsia="宋体" w:hAnsi="宋体" w:cs="宋体" w:hint="eastAsia"/>
          <w:color w:val="FF0000"/>
          <w:szCs w:val="21"/>
        </w:rPr>
      </w:pPr>
      <w:r>
        <w:rPr>
          <w:rFonts w:ascii="宋体" w:eastAsia="宋体" w:hAnsi="宋体" w:cs="宋体" w:hint="eastAsia"/>
          <w:color w:val="FF0000"/>
          <w:szCs w:val="21"/>
        </w:rPr>
        <w:t>为避免出现不同供应商投标文件的文件制作机器码、文件创建标识码、IP地址一致的异常情况，建议各供应商编制、上传投标文件时不要使用公共电脑设备或公共网络。</w:t>
      </w:r>
    </w:p>
    <w:p>
      <w:pPr>
        <w:pStyle w:val="ListParagraph"/>
        <w:keepNext/>
        <w:keepLines/>
        <w:pageBreakBefore w:val="0"/>
        <w:widowControl w:val="0"/>
        <w:numPr>
          <w:ilvl w:val="0"/>
          <w:numId w:val="7"/>
        </w:numPr>
        <w:kinsoku/>
        <w:wordWrap/>
        <w:overflowPunct/>
        <w:topLinePunct w:val="0"/>
        <w:autoSpaceDE/>
        <w:autoSpaceDN/>
        <w:bidi w:val="0"/>
        <w:adjustRightInd/>
        <w:snapToGrid/>
        <w:spacing w:line="240" w:lineRule="auto"/>
        <w:ind w:left="0" w:hanging="840" w:hangingChars="400"/>
        <w:jc w:val="left"/>
        <w:textAlignment w:val="auto"/>
        <w:rPr>
          <w:rFonts w:ascii="宋体" w:eastAsia="宋体" w:hAnsi="宋体" w:cs="宋体" w:hint="eastAsia"/>
          <w:color w:val="FF0000"/>
          <w:szCs w:val="21"/>
        </w:rPr>
      </w:pPr>
      <w:r>
        <w:rPr>
          <w:rFonts w:ascii="宋体" w:eastAsia="宋体" w:hAnsi="宋体" w:cs="宋体" w:hint="eastAsia"/>
          <w:color w:val="FF0000"/>
          <w:szCs w:val="2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秘钥。</w:t>
      </w:r>
    </w:p>
    <w:p>
      <w:pPr>
        <w:pStyle w:val="ListParagraph"/>
        <w:keepNext/>
        <w:keepLines/>
        <w:pageBreakBefore w:val="0"/>
        <w:widowControl w:val="0"/>
        <w:numPr>
          <w:ilvl w:val="0"/>
          <w:numId w:val="3"/>
        </w:numPr>
        <w:kinsoku/>
        <w:wordWrap/>
        <w:overflowPunct/>
        <w:topLinePunct w:val="0"/>
        <w:autoSpaceDE/>
        <w:autoSpaceDN/>
        <w:bidi w:val="0"/>
        <w:adjustRightInd/>
        <w:snapToGrid/>
        <w:spacing w:line="240" w:lineRule="auto"/>
        <w:ind w:left="0" w:hanging="840" w:hangingChars="400"/>
        <w:jc w:val="left"/>
        <w:textAlignment w:val="auto"/>
        <w:rPr>
          <w:rFonts w:ascii="宋体" w:eastAsia="宋体" w:hAnsi="宋体" w:cs="宋体" w:hint="eastAsia"/>
          <w:color w:val="FF0000"/>
          <w:szCs w:val="21"/>
          <w:lang w:val="en-US" w:eastAsia="zh-CN"/>
        </w:rPr>
      </w:pPr>
      <w:r>
        <w:rPr>
          <w:rFonts w:ascii="宋体" w:eastAsia="宋体" w:hAnsi="宋体" w:cs="宋体" w:hint="eastAsia"/>
          <w:color w:val="FF0000"/>
          <w:szCs w:val="21"/>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TableGrid"/>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09"/>
        <w:gridCol w:w="7711"/>
      </w:tblGrid>
      <w:tr>
        <w:tblPrEx>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60"/>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序号</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b/>
                <w:bCs/>
                <w:color w:val="auto"/>
                <w:sz w:val="21"/>
                <w:szCs w:val="21"/>
                <w:highlight w:val="none"/>
                <w:lang w:val="en-US" w:eastAsia="zh-CN"/>
              </w:rPr>
              <w:t>供应商参与投标禁止情形</w:t>
            </w:r>
          </w:p>
        </w:tc>
      </w:tr>
      <w:tr>
        <w:tblPrEx>
          <w:tblW w:w="4999" w:type="pct"/>
          <w:jc w:val="center"/>
          <w:tblCellMar>
            <w:top w:w="0" w:type="dxa"/>
            <w:left w:w="108" w:type="dxa"/>
            <w:bottom w:w="0" w:type="dxa"/>
            <w:right w:w="108" w:type="dxa"/>
          </w:tblCellMar>
        </w:tblPrEx>
        <w:trPr>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与其他投标供应商的法定代表人、主要经营负责人、投标授权代表人、项目负责人、主要技术人员为</w:t>
            </w:r>
            <w:r>
              <w:rPr>
                <w:rFonts w:ascii="宋体" w:eastAsia="宋体" w:hAnsi="宋体" w:cs="宋体" w:hint="eastAsia"/>
                <w:b/>
                <w:bCs/>
                <w:color w:val="auto"/>
                <w:sz w:val="21"/>
                <w:szCs w:val="21"/>
                <w:highlight w:val="none"/>
                <w:lang w:val="en-US" w:eastAsia="zh-CN"/>
              </w:rPr>
              <w:t>同一人、属同一单位或者在同一单位缴纳社会保险</w:t>
            </w:r>
            <w:r>
              <w:rPr>
                <w:rFonts w:ascii="宋体" w:eastAsia="宋体" w:hAnsi="宋体" w:cs="宋体" w:hint="eastAsia"/>
                <w:color w:val="auto"/>
                <w:sz w:val="21"/>
                <w:szCs w:val="21"/>
                <w:highlight w:val="none"/>
                <w:lang w:val="en-US" w:eastAsia="zh-CN"/>
              </w:rPr>
              <w:t>。</w:t>
            </w:r>
          </w:p>
        </w:tc>
      </w:tr>
      <w:tr>
        <w:tblPrEx>
          <w:tblW w:w="4999" w:type="pct"/>
          <w:jc w:val="center"/>
          <w:tblCellMar>
            <w:top w:w="0" w:type="dxa"/>
            <w:left w:w="108" w:type="dxa"/>
            <w:bottom w:w="0" w:type="dxa"/>
            <w:right w:w="108" w:type="dxa"/>
          </w:tblCellMar>
        </w:tblPrEx>
        <w:trPr>
          <w:trHeight w:val="90"/>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2</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参与本项目政府采购活动时，与其他投标供应商存在单位负责人为</w:t>
            </w:r>
            <w:r>
              <w:rPr>
                <w:rFonts w:ascii="宋体" w:eastAsia="宋体" w:hAnsi="宋体" w:cs="宋体" w:hint="eastAsia"/>
                <w:b/>
                <w:bCs/>
                <w:color w:val="auto"/>
                <w:sz w:val="21"/>
                <w:szCs w:val="21"/>
                <w:highlight w:val="none"/>
                <w:lang w:val="en-US" w:eastAsia="zh-CN"/>
              </w:rPr>
              <w:t>同一人或直接控股、管理关系</w:t>
            </w:r>
            <w:r>
              <w:rPr>
                <w:rFonts w:ascii="宋体" w:eastAsia="宋体" w:hAnsi="宋体" w:cs="宋体" w:hint="eastAsia"/>
                <w:color w:val="auto"/>
                <w:sz w:val="21"/>
                <w:szCs w:val="21"/>
                <w:highlight w:val="none"/>
                <w:lang w:val="en-US" w:eastAsia="zh-CN"/>
              </w:rPr>
              <w:t>。</w:t>
            </w:r>
          </w:p>
        </w:tc>
      </w:tr>
      <w:tr>
        <w:tblPrEx>
          <w:tblW w:w="4999" w:type="pct"/>
          <w:jc w:val="center"/>
          <w:tblCellMar>
            <w:top w:w="0" w:type="dxa"/>
            <w:left w:w="108" w:type="dxa"/>
            <w:bottom w:w="0" w:type="dxa"/>
            <w:right w:w="108" w:type="dxa"/>
          </w:tblCellMar>
        </w:tblPrEx>
        <w:trPr>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3</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与其他投标供应商的投标文件或部分投标文件</w:t>
            </w:r>
            <w:r>
              <w:rPr>
                <w:rFonts w:ascii="宋体" w:eastAsia="宋体" w:hAnsi="宋体" w:cs="宋体" w:hint="eastAsia"/>
                <w:b/>
                <w:bCs/>
                <w:color w:val="auto"/>
                <w:sz w:val="21"/>
                <w:szCs w:val="21"/>
                <w:highlight w:val="none"/>
                <w:lang w:val="en-US" w:eastAsia="zh-CN"/>
              </w:rPr>
              <w:t>相互混装或存在非正常一致</w:t>
            </w:r>
            <w:r>
              <w:rPr>
                <w:rFonts w:ascii="宋体" w:eastAsia="宋体" w:hAnsi="宋体" w:cs="宋体" w:hint="eastAsia"/>
                <w:color w:val="auto"/>
                <w:sz w:val="21"/>
                <w:szCs w:val="21"/>
                <w:highlight w:val="none"/>
                <w:lang w:val="en-US" w:eastAsia="zh-CN"/>
              </w:rPr>
              <w:t>。</w:t>
            </w:r>
          </w:p>
        </w:tc>
      </w:tr>
      <w:tr>
        <w:tblPrEx>
          <w:tblW w:w="4999" w:type="pct"/>
          <w:jc w:val="center"/>
          <w:tblCellMar>
            <w:top w:w="0" w:type="dxa"/>
            <w:left w:w="108" w:type="dxa"/>
            <w:bottom w:w="0" w:type="dxa"/>
            <w:right w:w="108" w:type="dxa"/>
          </w:tblCellMar>
        </w:tblPrEx>
        <w:trPr>
          <w:trHeight w:val="1325"/>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4</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color w:val="auto"/>
                <w:sz w:val="21"/>
                <w:szCs w:val="21"/>
                <w:highlight w:val="none"/>
                <w:lang w:val="en-US" w:eastAsia="zh-CN"/>
              </w:rPr>
              <w:t>与其他投标供应商的投标文件由</w:t>
            </w:r>
            <w:r>
              <w:rPr>
                <w:rFonts w:ascii="宋体" w:eastAsia="宋体" w:hAnsi="宋体" w:cs="宋体" w:hint="eastAsia"/>
                <w:b/>
                <w:bCs/>
                <w:color w:val="auto"/>
                <w:sz w:val="21"/>
                <w:szCs w:val="21"/>
                <w:highlight w:val="none"/>
                <w:lang w:val="en-US" w:eastAsia="zh-CN"/>
              </w:rPr>
              <w:t>同一单位或者同一人编制</w:t>
            </w:r>
            <w:r>
              <w:rPr>
                <w:rFonts w:ascii="宋体" w:eastAsia="宋体" w:hAnsi="宋体" w:cs="宋体" w:hint="eastAsia"/>
                <w:color w:val="auto"/>
                <w:sz w:val="21"/>
                <w:szCs w:val="21"/>
                <w:highlight w:val="none"/>
                <w:lang w:val="en-US" w:eastAsia="zh-CN"/>
              </w:rPr>
              <w:t>，或者使用</w:t>
            </w:r>
            <w:r>
              <w:rPr>
                <w:rFonts w:ascii="宋体" w:eastAsia="宋体" w:hAnsi="宋体" w:cs="宋体" w:hint="eastAsia"/>
                <w:b/>
                <w:bCs/>
                <w:color w:val="auto"/>
                <w:sz w:val="21"/>
                <w:szCs w:val="21"/>
                <w:highlight w:val="none"/>
                <w:lang w:val="en-US" w:eastAsia="zh-CN"/>
              </w:rPr>
              <w:t>同一设备编制</w:t>
            </w:r>
            <w:r>
              <w:rPr>
                <w:rFonts w:ascii="宋体" w:eastAsia="宋体" w:hAnsi="宋体" w:cs="宋体" w:hint="eastAsia"/>
                <w:color w:val="auto"/>
                <w:sz w:val="21"/>
                <w:szCs w:val="21"/>
                <w:highlight w:val="none"/>
                <w:lang w:val="en-US" w:eastAsia="zh-CN"/>
              </w:rPr>
              <w:t>（“文件制作机器码”“文件创建标识码”一致）。</w:t>
            </w:r>
          </w:p>
        </w:tc>
      </w:tr>
      <w:tr>
        <w:tblPrEx>
          <w:tblW w:w="4999" w:type="pct"/>
          <w:jc w:val="center"/>
          <w:tblCellMar>
            <w:top w:w="0" w:type="dxa"/>
            <w:left w:w="108" w:type="dxa"/>
            <w:bottom w:w="0" w:type="dxa"/>
            <w:right w:w="108" w:type="dxa"/>
          </w:tblCellMar>
        </w:tblPrEx>
        <w:trPr>
          <w:trHeight w:val="985"/>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5</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提供</w:t>
            </w:r>
            <w:r>
              <w:rPr>
                <w:rFonts w:ascii="宋体" w:eastAsia="宋体" w:hAnsi="宋体" w:cs="宋体" w:hint="eastAsia"/>
                <w:b/>
                <w:bCs/>
                <w:color w:val="auto"/>
                <w:sz w:val="21"/>
                <w:szCs w:val="21"/>
                <w:highlight w:val="none"/>
                <w:lang w:val="en-US" w:eastAsia="zh-CN"/>
              </w:rPr>
              <w:t>未经出具机构核实</w:t>
            </w:r>
            <w:r>
              <w:rPr>
                <w:rFonts w:ascii="宋体" w:eastAsia="宋体" w:hAnsi="宋体" w:cs="宋体" w:hint="eastAsia"/>
                <w:color w:val="auto"/>
                <w:sz w:val="21"/>
                <w:szCs w:val="21"/>
                <w:highlight w:val="none"/>
                <w:lang w:val="en-US" w:eastAsia="zh-CN"/>
              </w:rPr>
              <w:t>的虚假的检验检测报告、业绩材料、社保缴纳证明、学历学位证书、职称认证证书等材料。</w:t>
            </w:r>
          </w:p>
        </w:tc>
      </w:tr>
      <w:tr>
        <w:tblPrEx>
          <w:tblW w:w="4999" w:type="pct"/>
          <w:jc w:val="center"/>
          <w:tblCellMar>
            <w:top w:w="0" w:type="dxa"/>
            <w:left w:w="108" w:type="dxa"/>
            <w:bottom w:w="0" w:type="dxa"/>
            <w:right w:w="108" w:type="dxa"/>
          </w:tblCellMar>
        </w:tblPrEx>
        <w:trPr>
          <w:trHeight w:val="588"/>
          <w:jc w:val="center"/>
        </w:trPr>
        <w:tc>
          <w:tcPr>
            <w:tcW w:w="475"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6</w:t>
            </w:r>
          </w:p>
        </w:tc>
        <w:tc>
          <w:tcPr>
            <w:tcW w:w="4524" w:type="pct"/>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eastAsia="宋体" w:hAnsi="宋体" w:cs="宋体" w:hint="eastAsia"/>
                <w:color w:val="auto"/>
                <w:kern w:val="2"/>
                <w:sz w:val="21"/>
                <w:szCs w:val="21"/>
                <w:highlight w:val="none"/>
                <w:lang w:val="en-US" w:eastAsia="zh-CN" w:bidi="ar-SA"/>
              </w:rPr>
            </w:pPr>
            <w:r>
              <w:rPr>
                <w:rFonts w:ascii="宋体" w:eastAsia="宋体" w:hAnsi="宋体" w:cs="宋体" w:hint="eastAsia"/>
                <w:color w:val="auto"/>
                <w:sz w:val="21"/>
                <w:szCs w:val="21"/>
                <w:highlight w:val="none"/>
                <w:lang w:val="en-US" w:eastAsia="zh-CN"/>
              </w:rPr>
              <w:t>擅自将投标密钥</w:t>
            </w:r>
            <w:r>
              <w:rPr>
                <w:rFonts w:ascii="宋体" w:eastAsia="宋体" w:hAnsi="宋体" w:cs="宋体" w:hint="eastAsia"/>
                <w:color w:val="auto"/>
                <w:sz w:val="21"/>
                <w:szCs w:val="21"/>
                <w:highlight w:val="none"/>
                <w:lang w:eastAsia="zh-CN"/>
              </w:rPr>
              <w:t>或</w:t>
            </w:r>
            <w:r>
              <w:rPr>
                <w:rFonts w:ascii="宋体" w:eastAsia="宋体" w:hAnsi="宋体" w:cs="宋体" w:hint="eastAsia"/>
                <w:color w:val="auto"/>
                <w:sz w:val="21"/>
                <w:szCs w:val="21"/>
                <w:highlight w:val="none"/>
                <w:lang w:val="en-US" w:eastAsia="zh-CN"/>
              </w:rPr>
              <w:t>电子营业执照出借他人使用或未妥善保管。</w:t>
            </w:r>
          </w:p>
        </w:tc>
      </w:tr>
    </w:tbl>
    <w:p>
      <w:pPr>
        <w:spacing w:line="400" w:lineRule="exact"/>
      </w:pPr>
    </w:p>
    <w:p>
      <w:pPr>
        <w:spacing w:line="400" w:lineRule="exact"/>
      </w:pPr>
    </w:p>
    <w:p/>
    <w:p>
      <w:pPr>
        <w:pStyle w:val="Heading1"/>
        <w:spacing w:line="240" w:lineRule="auto"/>
        <w:jc w:val="center"/>
        <w:rPr>
          <w:rFonts w:ascii="仿宋" w:eastAsia="仿宋" w:hAnsi="仿宋"/>
          <w:sz w:val="24"/>
        </w:rPr>
      </w:pPr>
      <w:bookmarkStart w:id="50" w:name="_Toc9999"/>
      <w:bookmarkStart w:id="51" w:name="_Toc26853"/>
      <w:bookmarkStart w:id="52" w:name="_Toc27244"/>
      <w:r>
        <w:rPr>
          <w:rFonts w:hint="eastAsia"/>
        </w:rPr>
        <w:br w:type="page"/>
      </w:r>
      <w:bookmarkStart w:id="53" w:name="_Toc18922"/>
      <w:bookmarkStart w:id="54" w:name="_Toc3387"/>
      <w:bookmarkStart w:id="55" w:name="_Toc256000008"/>
      <w:r>
        <w:rPr>
          <w:rFonts w:hint="eastAsia"/>
        </w:rPr>
        <w:t>第一章  投标邀请</w:t>
      </w:r>
      <w:bookmarkEnd w:id="55"/>
      <w:bookmarkEnd w:id="50"/>
      <w:bookmarkEnd w:id="51"/>
      <w:bookmarkEnd w:id="52"/>
      <w:bookmarkEnd w:id="53"/>
      <w:bookmarkEnd w:id="54"/>
      <w:bookmarkStart w:id="56" w:name="OLE_LINK1"/>
      <w:bookmarkStart w:id="57" w:name="_Toc43832614"/>
      <w:bookmarkStart w:id="58" w:name="_Toc490551945"/>
      <w:bookmarkStart w:id="59" w:name="_Toc42628597"/>
    </w:p>
    <w:p>
      <w:pPr>
        <w:pStyle w:val="Heading2"/>
        <w:spacing w:before="156" w:beforeLines="50" w:after="156" w:afterLines="50" w:line="400" w:lineRule="exact"/>
        <w:rPr>
          <w:rFonts w:ascii="宋体" w:eastAsia="宋体" w:hAnsi="宋体" w:cs="宋体" w:hint="eastAsia"/>
          <w:b/>
          <w:bCs/>
          <w:sz w:val="24"/>
          <w:szCs w:val="24"/>
        </w:rPr>
      </w:pPr>
      <w:bookmarkStart w:id="60" w:name="_Toc42628595"/>
      <w:bookmarkStart w:id="61" w:name="_Toc95484632"/>
      <w:bookmarkStart w:id="62" w:name="_Toc28250"/>
      <w:bookmarkStart w:id="63" w:name="_Toc31999"/>
      <w:bookmarkStart w:id="64" w:name="_Toc43832612"/>
      <w:bookmarkStart w:id="65" w:name="_Toc256000009"/>
      <w:r>
        <w:rPr>
          <w:rFonts w:ascii="宋体" w:eastAsia="宋体" w:hAnsi="宋体" w:cs="宋体" w:hint="eastAsia"/>
          <w:b/>
          <w:bCs/>
          <w:sz w:val="24"/>
          <w:szCs w:val="24"/>
        </w:rPr>
        <w:t>一、项目基本情况</w:t>
      </w:r>
      <w:bookmarkEnd w:id="65"/>
      <w:bookmarkEnd w:id="60"/>
      <w:bookmarkEnd w:id="61"/>
      <w:bookmarkEnd w:id="62"/>
      <w:bookmarkEnd w:id="63"/>
      <w:bookmarkEnd w:id="64"/>
    </w:p>
    <w:p>
      <w:pPr>
        <w:spacing w:line="400" w:lineRule="exact"/>
        <w:ind w:firstLine="420" w:firstLineChars="200"/>
        <w:rPr>
          <w:rFonts w:ascii="宋体" w:eastAsia="宋体" w:hAnsi="宋体" w:cs="宋体" w:hint="eastAsia"/>
          <w:sz w:val="24"/>
          <w:lang w:eastAsia="zh-CN"/>
        </w:rPr>
      </w:pPr>
      <w:r>
        <w:rPr>
          <w:rFonts w:ascii="宋体" w:eastAsia="宋体" w:hAnsi="宋体" w:cs="宋体" w:hint="eastAsia"/>
          <w:sz w:val="24"/>
        </w:rPr>
        <w:t>1.项目编号：</w:t>
      </w:r>
      <w:r>
        <w:rPr>
          <w:rFonts w:ascii="宋体" w:hAnsi="宋体" w:cs="宋体" w:hint="eastAsia"/>
          <w:sz w:val="24"/>
          <w:lang w:eastAsia="zh-CN"/>
        </w:rPr>
        <w:t>PSDL2026000028</w:t>
      </w:r>
      <w:bookmarkStart w:id="66" w:name="_GoBack"/>
      <w:bookmarkEnd w:id="66"/>
    </w:p>
    <w:p>
      <w:pPr>
        <w:spacing w:line="400" w:lineRule="exact"/>
        <w:ind w:firstLine="420" w:firstLineChars="200"/>
        <w:rPr>
          <w:rFonts w:ascii="宋体" w:eastAsia="宋体" w:hAnsi="宋体" w:cs="宋体" w:hint="eastAsia"/>
          <w:sz w:val="24"/>
          <w:lang w:eastAsia="zh-CN"/>
        </w:rPr>
      </w:pPr>
      <w:r>
        <w:rPr>
          <w:rFonts w:ascii="宋体" w:eastAsia="宋体" w:hAnsi="宋体" w:cs="宋体" w:hint="eastAsia"/>
          <w:sz w:val="24"/>
        </w:rPr>
        <w:t>2.项目名称：</w:t>
      </w:r>
      <w:r>
        <w:rPr>
          <w:rFonts w:ascii="宋体" w:eastAsia="宋体" w:hAnsi="宋体" w:cs="宋体" w:hint="eastAsia"/>
          <w:sz w:val="24"/>
          <w:lang w:eastAsia="zh-CN"/>
        </w:rPr>
        <w:t>南方医科大学深圳坪山医院</w:t>
      </w:r>
      <w:r>
        <w:rPr>
          <w:rFonts w:ascii="宋体" w:hAnsi="宋体" w:cs="宋体" w:hint="eastAsia"/>
          <w:sz w:val="24"/>
          <w:lang w:eastAsia="zh-CN"/>
        </w:rPr>
        <w:t>（深圳市坪山区人民医院）</w:t>
      </w:r>
      <w:r>
        <w:rPr>
          <w:rFonts w:ascii="宋体" w:eastAsia="宋体" w:hAnsi="宋体" w:cs="宋体" w:hint="eastAsia"/>
          <w:sz w:val="24"/>
          <w:lang w:eastAsia="zh-CN"/>
        </w:rPr>
        <w:t>新院区空气检测及除甲醛</w:t>
      </w:r>
    </w:p>
    <w:p>
      <w:pPr>
        <w:spacing w:line="400" w:lineRule="exact"/>
        <w:ind w:firstLine="420" w:firstLineChars="200"/>
        <w:rPr>
          <w:rFonts w:ascii="宋体" w:eastAsia="宋体" w:hAnsi="宋体" w:cs="宋体" w:hint="eastAsia"/>
          <w:color w:val="auto"/>
          <w:sz w:val="24"/>
        </w:rPr>
      </w:pPr>
      <w:r>
        <w:rPr>
          <w:rFonts w:ascii="宋体" w:eastAsia="宋体" w:hAnsi="宋体" w:cs="宋体" w:hint="eastAsia"/>
          <w:color w:val="auto"/>
          <w:sz w:val="24"/>
        </w:rPr>
        <w:t>3.预算金额：¥1</w:t>
      </w:r>
      <w:r>
        <w:rPr>
          <w:rFonts w:ascii="宋体" w:eastAsia="宋体" w:hAnsi="宋体" w:cs="宋体" w:hint="eastAsia"/>
          <w:color w:val="auto"/>
          <w:sz w:val="24"/>
          <w:lang w:val="en-US" w:eastAsia="zh-CN"/>
        </w:rPr>
        <w:t>5</w:t>
      </w:r>
      <w:r>
        <w:rPr>
          <w:rFonts w:ascii="宋体" w:eastAsia="宋体" w:hAnsi="宋体" w:cs="宋体" w:hint="eastAsia"/>
          <w:color w:val="auto"/>
          <w:sz w:val="24"/>
        </w:rPr>
        <w:t>0</w:t>
      </w:r>
      <w:r>
        <w:rPr>
          <w:rFonts w:ascii="宋体" w:eastAsia="宋体" w:hAnsi="宋体" w:cs="宋体" w:hint="eastAsia"/>
          <w:color w:val="auto"/>
          <w:sz w:val="24"/>
          <w:lang w:val="en-US" w:eastAsia="zh-CN"/>
        </w:rPr>
        <w:t>,000</w:t>
      </w:r>
      <w:r>
        <w:rPr>
          <w:rFonts w:ascii="宋体" w:eastAsia="宋体" w:hAnsi="宋体" w:cs="宋体" w:hint="eastAsia"/>
          <w:color w:val="auto"/>
          <w:sz w:val="24"/>
        </w:rPr>
        <w:t>.00</w:t>
      </w:r>
    </w:p>
    <w:p>
      <w:pPr>
        <w:spacing w:line="400" w:lineRule="exact"/>
        <w:ind w:firstLine="420" w:firstLineChars="200"/>
        <w:rPr>
          <w:rFonts w:ascii="宋体" w:eastAsia="宋体" w:hAnsi="宋体" w:cs="宋体" w:hint="eastAsia"/>
          <w:color w:val="auto"/>
          <w:sz w:val="24"/>
          <w:lang w:eastAsia="zh-CN"/>
        </w:rPr>
      </w:pPr>
      <w:r>
        <w:rPr>
          <w:rFonts w:ascii="宋体" w:eastAsia="宋体" w:hAnsi="宋体" w:cs="宋体" w:hint="eastAsia"/>
          <w:color w:val="auto"/>
          <w:sz w:val="24"/>
        </w:rPr>
        <w:t>4.最高限价：¥1</w:t>
      </w:r>
      <w:r>
        <w:rPr>
          <w:rFonts w:ascii="宋体" w:eastAsia="宋体" w:hAnsi="宋体" w:cs="宋体" w:hint="eastAsia"/>
          <w:color w:val="auto"/>
          <w:sz w:val="24"/>
          <w:lang w:val="en-US" w:eastAsia="zh-CN"/>
        </w:rPr>
        <w:t>5</w:t>
      </w:r>
      <w:r>
        <w:rPr>
          <w:rFonts w:ascii="宋体" w:eastAsia="宋体" w:hAnsi="宋体" w:cs="宋体" w:hint="eastAsia"/>
          <w:color w:val="auto"/>
          <w:sz w:val="24"/>
        </w:rPr>
        <w:t>0</w:t>
      </w:r>
      <w:r>
        <w:rPr>
          <w:rFonts w:ascii="宋体" w:eastAsia="宋体" w:hAnsi="宋体" w:cs="宋体" w:hint="eastAsia"/>
          <w:color w:val="auto"/>
          <w:sz w:val="24"/>
          <w:lang w:val="en-US" w:eastAsia="zh-CN"/>
        </w:rPr>
        <w:t>,000</w:t>
      </w:r>
      <w:r>
        <w:rPr>
          <w:rFonts w:ascii="宋体" w:eastAsia="宋体" w:hAnsi="宋体" w:cs="宋体" w:hint="eastAsia"/>
          <w:color w:val="auto"/>
          <w:sz w:val="24"/>
        </w:rPr>
        <w:t>.00</w:t>
      </w:r>
    </w:p>
    <w:p>
      <w:pPr>
        <w:spacing w:line="360" w:lineRule="auto"/>
        <w:ind w:firstLine="420" w:firstLineChars="200"/>
        <w:rPr>
          <w:rFonts w:ascii="宋体" w:eastAsia="宋体" w:hAnsi="宋体" w:cs="宋体" w:hint="eastAsia"/>
          <w:sz w:val="24"/>
        </w:rPr>
      </w:pPr>
      <w:r>
        <w:rPr>
          <w:rFonts w:ascii="宋体" w:eastAsia="宋体" w:hAnsi="宋体" w:cs="宋体" w:hint="eastAsia"/>
          <w:sz w:val="24"/>
        </w:rPr>
        <w:t>5.采购需求：</w:t>
      </w: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4077"/>
        <w:gridCol w:w="993"/>
        <w:gridCol w:w="3260"/>
        <w:gridCol w:w="709"/>
      </w:tblGrid>
      <w:tr>
        <w:tblPrEx>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c>
          <w:tcPr>
            <w:tcW w:w="4077" w:type="dxa"/>
            <w:vAlign w:val="center"/>
          </w:tcPr>
          <w:p>
            <w:pPr>
              <w:spacing w:line="400" w:lineRule="exact"/>
              <w:jc w:val="center"/>
              <w:rPr>
                <w:rFonts w:ascii="宋体" w:eastAsia="宋体" w:hAnsi="宋体" w:cs="宋体" w:hint="eastAsia"/>
                <w:kern w:val="0"/>
                <w:sz w:val="24"/>
              </w:rPr>
            </w:pPr>
            <w:r>
              <w:rPr>
                <w:rFonts w:ascii="宋体" w:eastAsia="宋体" w:hAnsi="宋体" w:cs="宋体" w:hint="eastAsia"/>
                <w:kern w:val="0"/>
                <w:sz w:val="24"/>
              </w:rPr>
              <w:t>标的名称</w:t>
            </w:r>
          </w:p>
        </w:tc>
        <w:tc>
          <w:tcPr>
            <w:tcW w:w="993" w:type="dxa"/>
            <w:vAlign w:val="center"/>
          </w:tcPr>
          <w:p>
            <w:pPr>
              <w:spacing w:line="400" w:lineRule="exact"/>
              <w:jc w:val="center"/>
              <w:rPr>
                <w:rFonts w:ascii="宋体" w:eastAsia="宋体" w:hAnsi="宋体" w:cs="宋体" w:hint="eastAsia"/>
                <w:kern w:val="0"/>
                <w:sz w:val="24"/>
              </w:rPr>
            </w:pPr>
            <w:r>
              <w:rPr>
                <w:rFonts w:ascii="宋体" w:eastAsia="宋体" w:hAnsi="宋体" w:cs="宋体" w:hint="eastAsia"/>
                <w:kern w:val="0"/>
                <w:sz w:val="24"/>
              </w:rPr>
              <w:t>数量</w:t>
            </w:r>
          </w:p>
        </w:tc>
        <w:tc>
          <w:tcPr>
            <w:tcW w:w="3260" w:type="dxa"/>
            <w:vAlign w:val="center"/>
          </w:tcPr>
          <w:p>
            <w:pPr>
              <w:spacing w:line="400" w:lineRule="exact"/>
              <w:jc w:val="center"/>
              <w:rPr>
                <w:rFonts w:ascii="宋体" w:eastAsia="宋体" w:hAnsi="宋体" w:cs="宋体" w:hint="eastAsia"/>
                <w:kern w:val="0"/>
                <w:sz w:val="24"/>
              </w:rPr>
            </w:pPr>
            <w:r>
              <w:rPr>
                <w:rFonts w:ascii="宋体" w:eastAsia="宋体" w:hAnsi="宋体" w:cs="宋体" w:hint="eastAsia"/>
                <w:kern w:val="0"/>
                <w:sz w:val="24"/>
              </w:rPr>
              <w:t>简要技术需求（服务需求）</w:t>
            </w:r>
          </w:p>
        </w:tc>
        <w:tc>
          <w:tcPr>
            <w:tcW w:w="709" w:type="dxa"/>
            <w:vAlign w:val="center"/>
          </w:tcPr>
          <w:p>
            <w:pPr>
              <w:spacing w:line="400" w:lineRule="exact"/>
              <w:jc w:val="center"/>
              <w:rPr>
                <w:rFonts w:ascii="宋体" w:eastAsia="宋体" w:hAnsi="宋体" w:cs="宋体" w:hint="eastAsia"/>
                <w:kern w:val="0"/>
                <w:sz w:val="24"/>
              </w:rPr>
            </w:pPr>
            <w:r>
              <w:rPr>
                <w:rFonts w:ascii="宋体" w:eastAsia="宋体" w:hAnsi="宋体" w:cs="宋体" w:hint="eastAsia"/>
                <w:kern w:val="0"/>
                <w:sz w:val="24"/>
              </w:rPr>
              <w:t>备注</w:t>
            </w:r>
          </w:p>
        </w:tc>
      </w:tr>
      <w:tr>
        <w:tblPrEx>
          <w:tblW w:w="0" w:type="auto"/>
          <w:tblInd w:w="0" w:type="dxa"/>
          <w:tblLayout w:type="fixed"/>
          <w:tblCellMar>
            <w:top w:w="0" w:type="dxa"/>
            <w:left w:w="108" w:type="dxa"/>
            <w:bottom w:w="0" w:type="dxa"/>
            <w:right w:w="108" w:type="dxa"/>
          </w:tblCellMar>
        </w:tblPrEx>
        <w:tc>
          <w:tcPr>
            <w:tcW w:w="4077" w:type="dxa"/>
            <w:vAlign w:val="center"/>
          </w:tcPr>
          <w:p>
            <w:pPr>
              <w:spacing w:line="400" w:lineRule="exact"/>
              <w:jc w:val="center"/>
              <w:rPr>
                <w:rFonts w:ascii="宋体" w:eastAsia="宋体" w:hAnsi="宋体" w:cs="宋体" w:hint="eastAsia"/>
                <w:kern w:val="0"/>
                <w:sz w:val="24"/>
                <w:lang w:eastAsia="zh-CN"/>
              </w:rPr>
            </w:pPr>
            <w:r>
              <w:rPr>
                <w:rFonts w:ascii="宋体" w:eastAsia="宋体" w:hAnsi="宋体" w:cs="宋体" w:hint="eastAsia"/>
                <w:sz w:val="24"/>
                <w:lang w:eastAsia="zh-CN"/>
              </w:rPr>
              <w:t>南方医科大学深圳坪山医院</w:t>
            </w:r>
            <w:r>
              <w:rPr>
                <w:rFonts w:ascii="宋体" w:hAnsi="宋体" w:cs="宋体" w:hint="eastAsia"/>
                <w:sz w:val="24"/>
                <w:lang w:eastAsia="zh-CN"/>
              </w:rPr>
              <w:t>（深圳市坪山区人民医院）</w:t>
            </w:r>
            <w:r>
              <w:rPr>
                <w:rFonts w:ascii="宋体" w:eastAsia="宋体" w:hAnsi="宋体" w:cs="宋体" w:hint="eastAsia"/>
                <w:sz w:val="24"/>
                <w:lang w:eastAsia="zh-CN"/>
              </w:rPr>
              <w:t>新院区空气检测及除甲醛</w:t>
            </w:r>
          </w:p>
        </w:tc>
        <w:tc>
          <w:tcPr>
            <w:tcW w:w="993" w:type="dxa"/>
            <w:vAlign w:val="center"/>
          </w:tcPr>
          <w:p>
            <w:pPr>
              <w:spacing w:line="400" w:lineRule="exact"/>
              <w:jc w:val="center"/>
              <w:rPr>
                <w:rFonts w:ascii="宋体" w:eastAsia="宋体" w:hAnsi="宋体" w:cs="宋体" w:hint="eastAsia"/>
                <w:kern w:val="0"/>
                <w:sz w:val="24"/>
              </w:rPr>
            </w:pPr>
            <w:r>
              <w:rPr>
                <w:rFonts w:ascii="宋体" w:eastAsia="宋体" w:hAnsi="宋体" w:cs="宋体" w:hint="eastAsia"/>
                <w:kern w:val="0"/>
                <w:sz w:val="24"/>
              </w:rPr>
              <w:t>1项</w:t>
            </w:r>
          </w:p>
        </w:tc>
        <w:tc>
          <w:tcPr>
            <w:tcW w:w="3260" w:type="dxa"/>
            <w:vAlign w:val="center"/>
          </w:tcPr>
          <w:p>
            <w:pPr>
              <w:spacing w:line="400" w:lineRule="exact"/>
              <w:jc w:val="center"/>
              <w:rPr>
                <w:rFonts w:ascii="宋体" w:eastAsia="宋体" w:hAnsi="宋体" w:cs="宋体" w:hint="eastAsia"/>
                <w:kern w:val="0"/>
                <w:sz w:val="24"/>
              </w:rPr>
            </w:pPr>
            <w:r>
              <w:rPr>
                <w:rFonts w:ascii="宋体" w:eastAsia="宋体" w:hAnsi="宋体" w:cs="宋体" w:hint="eastAsia"/>
                <w:kern w:val="0"/>
                <w:sz w:val="24"/>
              </w:rPr>
              <w:t>详见附件内容</w:t>
            </w:r>
          </w:p>
        </w:tc>
        <w:tc>
          <w:tcPr>
            <w:tcW w:w="709" w:type="dxa"/>
            <w:vAlign w:val="center"/>
          </w:tcPr>
          <w:p>
            <w:pPr>
              <w:spacing w:line="400" w:lineRule="exact"/>
              <w:ind w:firstLine="420" w:firstLineChars="200"/>
              <w:jc w:val="center"/>
              <w:rPr>
                <w:rFonts w:ascii="宋体" w:eastAsia="宋体" w:hAnsi="宋体" w:cs="宋体" w:hint="eastAsia"/>
                <w:kern w:val="0"/>
                <w:sz w:val="24"/>
              </w:rPr>
            </w:pPr>
          </w:p>
        </w:tc>
      </w:tr>
    </w:tbl>
    <w:p>
      <w:pPr>
        <w:spacing w:line="400" w:lineRule="exact"/>
        <w:ind w:firstLine="420" w:firstLineChars="200"/>
        <w:rPr>
          <w:rFonts w:ascii="宋体" w:eastAsia="宋体" w:hAnsi="宋体" w:cs="宋体" w:hint="eastAsia"/>
          <w:sz w:val="24"/>
        </w:rPr>
      </w:pPr>
      <w:r>
        <w:rPr>
          <w:rFonts w:ascii="宋体" w:eastAsia="宋体" w:hAnsi="宋体" w:cs="宋体" w:hint="eastAsia"/>
          <w:sz w:val="24"/>
        </w:rPr>
        <w:t>6.合同履行期限：见招标文件。</w:t>
      </w:r>
    </w:p>
    <w:p>
      <w:pPr>
        <w:spacing w:line="400" w:lineRule="exact"/>
        <w:ind w:firstLine="420" w:firstLineChars="200"/>
        <w:rPr>
          <w:rFonts w:ascii="宋体" w:eastAsia="宋体" w:hAnsi="宋体" w:cs="宋体" w:hint="eastAsia"/>
          <w:sz w:val="24"/>
        </w:rPr>
      </w:pPr>
      <w:r>
        <w:rPr>
          <w:rFonts w:ascii="宋体" w:eastAsia="宋体" w:hAnsi="宋体" w:cs="宋体" w:hint="eastAsia"/>
          <w:sz w:val="24"/>
        </w:rPr>
        <w:t>7.本项目</w:t>
      </w:r>
      <w:r>
        <w:rPr>
          <w:rFonts w:ascii="宋体" w:eastAsia="宋体" w:hAnsi="宋体" w:cs="宋体" w:hint="eastAsia"/>
          <w:sz w:val="24"/>
          <w:lang w:val="en-US" w:eastAsia="zh-CN"/>
        </w:rPr>
        <w:t>不</w:t>
      </w:r>
      <w:r>
        <w:rPr>
          <w:rFonts w:ascii="宋体" w:eastAsia="宋体" w:hAnsi="宋体" w:cs="宋体" w:hint="eastAsia"/>
          <w:sz w:val="24"/>
        </w:rPr>
        <w:t>接受联合体投标。</w:t>
      </w:r>
    </w:p>
    <w:p>
      <w:pPr>
        <w:pStyle w:val="Heading2"/>
        <w:spacing w:before="156" w:beforeLines="50" w:after="156" w:afterLines="50" w:line="400" w:lineRule="exact"/>
        <w:rPr>
          <w:rFonts w:ascii="宋体" w:eastAsia="宋体" w:hAnsi="宋体" w:cs="宋体" w:hint="eastAsia"/>
          <w:b/>
          <w:bCs/>
          <w:sz w:val="24"/>
          <w:szCs w:val="24"/>
        </w:rPr>
      </w:pPr>
      <w:bookmarkStart w:id="67" w:name="_Toc42628596"/>
      <w:bookmarkStart w:id="68" w:name="_Toc95484633"/>
      <w:bookmarkStart w:id="69" w:name="_Toc43832613"/>
      <w:bookmarkStart w:id="70" w:name="_Toc12973"/>
      <w:bookmarkStart w:id="71" w:name="_Toc13094"/>
      <w:bookmarkStart w:id="72" w:name="_Toc256000010"/>
      <w:r>
        <w:rPr>
          <w:rFonts w:ascii="宋体" w:eastAsia="宋体" w:hAnsi="宋体" w:cs="宋体" w:hint="eastAsia"/>
          <w:b/>
          <w:bCs/>
          <w:sz w:val="24"/>
          <w:szCs w:val="24"/>
        </w:rPr>
        <w:t>二、供应商的资格要求</w:t>
      </w:r>
      <w:bookmarkEnd w:id="72"/>
      <w:bookmarkEnd w:id="67"/>
      <w:bookmarkEnd w:id="68"/>
      <w:bookmarkEnd w:id="69"/>
      <w:bookmarkEnd w:id="70"/>
      <w:bookmarkEnd w:id="71"/>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1.满足《中华人民共和国政府采购法》第二十二条第一款的条件；（由供应商在《政府采购投标及履约承诺函》中作出声明）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lang w:val="en-US" w:eastAsia="zh-CN"/>
        </w:rPr>
      </w:pPr>
      <w:r>
        <w:rPr>
          <w:rFonts w:ascii="宋体" w:eastAsia="宋体" w:hAnsi="宋体" w:cs="宋体" w:hint="eastAsia"/>
        </w:rPr>
        <w:t>2.落实政府采购政策需满足的资格要求：本项目不专门面向中小企业采购</w:t>
      </w:r>
      <w:r>
        <w:rPr>
          <w:rFonts w:ascii="宋体" w:eastAsia="宋体" w:hAnsi="宋体" w:cs="宋体" w:hint="eastAsia"/>
          <w:b/>
          <w:bCs/>
          <w:color w:val="auto"/>
        </w:rPr>
        <w:t>。</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3.本项目的特定资格要求：</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3.1.具有独立承担民事责任能力的法人或其他组织（提供营业执照或事业单位法人证书等证明资料复印件或扫描件，原件备查）。如果参与投标的供应商为分公司则须提供分公司营业执照、其所属总公司等具有独立法人资格的组织出具的授权函或承诺书，但只接受直接授权，不接受逐级授权，并同时提供总公司营业执照。不接受同一总公司授权两家或以上分公司同时参与本项目投标，也不接受总公司与分公司同时参与本项目投标，如出现上述情形，该两家或以上供应商的投标文件均按无效投标处理。（以上证明材料均需提供复印件或扫描件，原件备查）</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3.</w:t>
      </w:r>
      <w:r>
        <w:rPr>
          <w:rFonts w:ascii="宋体" w:eastAsia="宋体" w:hAnsi="宋体" w:cs="宋体" w:hint="eastAsia"/>
          <w:lang w:val="en-US" w:eastAsia="zh-CN"/>
        </w:rPr>
        <w:t>2</w:t>
      </w:r>
      <w:r>
        <w:rPr>
          <w:rFonts w:ascii="宋体" w:eastAsia="宋体" w:hAnsi="宋体" w:cs="宋体" w:hint="eastAsia"/>
        </w:rPr>
        <w:t>.本项目</w:t>
      </w:r>
      <w:r>
        <w:rPr>
          <w:rFonts w:ascii="宋体" w:eastAsia="宋体" w:hAnsi="宋体" w:cs="宋体" w:hint="eastAsia"/>
          <w:lang w:val="en-US" w:eastAsia="zh-CN"/>
        </w:rPr>
        <w:t>不</w:t>
      </w:r>
      <w:r>
        <w:rPr>
          <w:rFonts w:ascii="宋体" w:eastAsia="宋体" w:hAnsi="宋体" w:cs="宋体" w:hint="eastAsia"/>
        </w:rPr>
        <w:t>接受联合体投标</w:t>
      </w:r>
      <w:r>
        <w:rPr>
          <w:rFonts w:ascii="宋体" w:eastAsia="宋体" w:hAnsi="宋体" w:cs="宋体" w:hint="eastAsia"/>
          <w:lang w:eastAsia="zh-CN"/>
        </w:rPr>
        <w:t>、</w:t>
      </w:r>
      <w:r>
        <w:rPr>
          <w:rFonts w:ascii="宋体" w:eastAsia="宋体" w:hAnsi="宋体" w:cs="宋体" w:hint="eastAsia"/>
          <w:lang w:val="en-US" w:eastAsia="zh-CN"/>
        </w:rPr>
        <w:t>不允许分包、转包</w:t>
      </w:r>
      <w:r>
        <w:rPr>
          <w:rFonts w:ascii="宋体" w:eastAsia="宋体" w:hAnsi="宋体" w:cs="宋体" w:hint="eastAsia"/>
          <w:lang w:eastAsia="zh-CN"/>
        </w:rPr>
        <w:t>。</w:t>
      </w:r>
      <w:r>
        <w:rPr>
          <w:rFonts w:ascii="宋体" w:eastAsia="宋体" w:hAnsi="宋体" w:cs="宋体" w:hint="eastAsia"/>
        </w:rPr>
        <w:t>（（由供应商在《政府采购投标及履约承诺函》中作出声明））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3.</w:t>
      </w:r>
      <w:r>
        <w:rPr>
          <w:rFonts w:ascii="宋体" w:eastAsia="宋体" w:hAnsi="宋体" w:cs="宋体" w:hint="eastAsia"/>
          <w:lang w:val="en-US" w:eastAsia="zh-CN"/>
        </w:rPr>
        <w:t>3</w:t>
      </w:r>
      <w:r>
        <w:rPr>
          <w:rFonts w:ascii="宋体" w:eastAsia="宋体" w:hAnsi="宋体" w:cs="宋体" w:hint="eastAsia"/>
        </w:rPr>
        <w:t>.参与本项目投标前三年内，在经营活动中没有重大违法记录；（由供应商在《政府采购投标及履约承诺函》中作出声明）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3.</w:t>
      </w:r>
      <w:r>
        <w:rPr>
          <w:rFonts w:ascii="宋体" w:eastAsia="宋体" w:hAnsi="宋体" w:cs="宋体" w:hint="eastAsia"/>
          <w:lang w:val="en-US" w:eastAsia="zh-CN"/>
        </w:rPr>
        <w:t>4</w:t>
      </w:r>
      <w:r>
        <w:rPr>
          <w:rFonts w:ascii="宋体" w:eastAsia="宋体" w:hAnsi="宋体" w:cs="宋体" w:hint="eastAsia"/>
        </w:rPr>
        <w:t>.不存在《深圳市财政局政府采购供应商信用信息管理办法》（深财规〔2023〕3号）列明的严重违法失信行为</w:t>
      </w:r>
      <w:r>
        <w:rPr>
          <w:rFonts w:ascii="宋体" w:eastAsia="宋体" w:hAnsi="宋体" w:cs="宋体" w:hint="eastAsia"/>
          <w:lang w:eastAsia="zh-CN"/>
        </w:rPr>
        <w:t>；</w:t>
      </w:r>
      <w:r>
        <w:rPr>
          <w:rFonts w:ascii="宋体" w:eastAsia="宋体" w:hAnsi="宋体" w:cs="宋体" w:hint="eastAsia"/>
        </w:rPr>
        <w:t>（由供应商在《政府采购投标及履约承诺函》中作出声明）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lang w:val="en-US" w:eastAsia="zh-CN"/>
        </w:rPr>
        <w:t>3.5.</w:t>
      </w:r>
      <w:r>
        <w:rPr>
          <w:rFonts w:ascii="宋体" w:eastAsia="宋体" w:hAnsi="宋体" w:cs="宋体" w:hint="eastAsia"/>
        </w:rPr>
        <w:t>参与本项目政府采购活动时不存在被有关部门禁止参与政府采购活动且在有效期内的情况；（由供应商在《政府采购投标及履约承诺函》中作出声明）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rPr>
      </w:pPr>
      <w:r>
        <w:rPr>
          <w:rFonts w:ascii="宋体" w:eastAsia="宋体" w:hAnsi="宋体" w:cs="宋体" w:hint="eastAsia"/>
        </w:rPr>
        <w:t>3.</w:t>
      </w:r>
      <w:r>
        <w:rPr>
          <w:rFonts w:ascii="宋体" w:eastAsia="宋体" w:hAnsi="宋体" w:cs="宋体" w:hint="eastAsia"/>
          <w:lang w:val="en-US" w:eastAsia="zh-CN"/>
        </w:rPr>
        <w:t>6</w:t>
      </w:r>
      <w:r>
        <w:rPr>
          <w:rFonts w:ascii="宋体" w:eastAsia="宋体" w:hAnsi="宋体" w:cs="宋体" w:hint="eastAsia"/>
        </w:rPr>
        <w:t>.未被列入失信被执行人、重大税收违法案件当事人名单、政府采购严重违法失信行为记录名单</w:t>
      </w:r>
      <w:r>
        <w:rPr>
          <w:rFonts w:ascii="宋体" w:eastAsia="宋体" w:hAnsi="宋体" w:cs="宋体" w:hint="eastAsia"/>
          <w:lang w:eastAsia="zh-CN"/>
        </w:rPr>
        <w:t>；</w:t>
      </w:r>
      <w:r>
        <w:rPr>
          <w:rFonts w:ascii="宋体" w:eastAsia="宋体" w:hAnsi="宋体" w:cs="宋体" w:hint="eastAsia"/>
        </w:rPr>
        <w:t>（由供应商在《政府采购投标及履约承诺函》中作出声明）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lang w:val="en-US" w:eastAsia="zh-CN"/>
        </w:rPr>
      </w:pPr>
      <w:r>
        <w:rPr>
          <w:rFonts w:ascii="宋体" w:eastAsia="宋体" w:hAnsi="宋体" w:cs="宋体" w:hint="eastAsia"/>
          <w:lang w:val="en-US" w:eastAsia="zh-CN"/>
        </w:rPr>
        <w:t>3.7.为采购项目提供整体设计、规范编制或者项目管理、监理、检测等服务的供应商，不得再参加该采购项目的其他采购活动；（由供应商在《政府采购投标及履约承诺函》中作出声明）</w:t>
      </w:r>
    </w:p>
    <w:p>
      <w:pPr>
        <w:pStyle w:val="NormalWeb"/>
        <w:spacing w:before="0" w:beforeAutospacing="0" w:after="0" w:afterAutospacing="0" w:line="400" w:lineRule="exact"/>
        <w:ind w:firstLine="480"/>
        <w:rPr>
          <w:rFonts w:ascii="宋体" w:eastAsia="宋体" w:hAnsi="宋体" w:cs="宋体" w:hint="eastAsia"/>
          <w:szCs w:val="21"/>
          <w:highlight w:val="none"/>
        </w:rPr>
      </w:pPr>
      <w:r>
        <w:rPr>
          <w:rFonts w:ascii="宋体" w:eastAsia="宋体" w:hAnsi="宋体" w:cs="宋体" w:hint="eastAsia"/>
          <w:lang w:val="en-US" w:eastAsia="zh-CN"/>
        </w:rPr>
        <w:t>3.8.</w:t>
      </w:r>
      <w:r>
        <w:rPr>
          <w:rFonts w:ascii="宋体" w:eastAsia="宋体" w:hAnsi="宋体" w:cs="宋体" w:hint="eastAsia"/>
          <w:szCs w:val="21"/>
          <w:highlight w:val="none"/>
        </w:rPr>
        <w:t>不同投标人的法定代表人、主要经营负责人、项目投标授权代表人、项目负责人、主要技术人员不得为同一人、属同一单位或者在同一单位缴纳社会保险；不同投标人的投标文件不得由同一单位或者同一人编制；单位负责人为同一人或者存在直接控股、管理关系的不同供应商，不得参加本项目政府采购活动</w:t>
      </w:r>
      <w:r>
        <w:rPr>
          <w:rFonts w:ascii="宋体" w:eastAsia="宋体" w:hAnsi="宋体" w:cs="宋体" w:hint="eastAsia"/>
          <w:szCs w:val="21"/>
          <w:highlight w:val="none"/>
          <w:lang w:eastAsia="zh-CN"/>
        </w:rPr>
        <w:t>。</w:t>
      </w:r>
      <w:r>
        <w:rPr>
          <w:rFonts w:ascii="宋体" w:eastAsia="宋体" w:hAnsi="宋体" w:cs="宋体" w:hint="eastAsia"/>
          <w:szCs w:val="21"/>
          <w:highlight w:val="none"/>
        </w:rPr>
        <w:t>（由投标人填写《供应商基本情况表》相关信息）</w:t>
      </w:r>
    </w:p>
    <w:p>
      <w:pPr>
        <w:pStyle w:val="Heading2"/>
        <w:spacing w:before="156" w:beforeLines="50" w:after="156" w:afterLines="50" w:line="400" w:lineRule="exact"/>
        <w:rPr>
          <w:rFonts w:ascii="宋体" w:eastAsia="宋体" w:hAnsi="宋体" w:cs="宋体" w:hint="eastAsia"/>
          <w:b/>
          <w:bCs/>
          <w:sz w:val="24"/>
          <w:szCs w:val="24"/>
        </w:rPr>
      </w:pPr>
      <w:bookmarkStart w:id="73" w:name="_Toc17867"/>
      <w:bookmarkStart w:id="74" w:name="_Toc95484638"/>
      <w:bookmarkStart w:id="75" w:name="_Toc12030"/>
      <w:bookmarkStart w:id="76" w:name="_Toc43832618"/>
      <w:bookmarkStart w:id="77" w:name="_Toc42628601"/>
      <w:bookmarkStart w:id="78" w:name="_Toc256000011"/>
      <w:r>
        <w:rPr>
          <w:rFonts w:ascii="宋体" w:eastAsia="宋体" w:hAnsi="宋体" w:cs="宋体" w:hint="eastAsia"/>
          <w:b/>
          <w:bCs/>
          <w:sz w:val="24"/>
          <w:szCs w:val="24"/>
        </w:rPr>
        <w:t>三、对本次采购提出询问，请按以下方式联系</w:t>
      </w:r>
      <w:bookmarkEnd w:id="78"/>
      <w:bookmarkEnd w:id="73"/>
      <w:bookmarkEnd w:id="74"/>
      <w:bookmarkEnd w:id="75"/>
      <w:bookmarkEnd w:id="76"/>
      <w:bookmarkEnd w:id="77"/>
    </w:p>
    <w:p>
      <w:pPr>
        <w:pStyle w:val="ListParagraph"/>
        <w:numPr>
          <w:ilvl w:val="0"/>
          <w:numId w:val="8"/>
        </w:numPr>
        <w:spacing w:line="400" w:lineRule="exact"/>
        <w:ind w:firstLineChars="0"/>
        <w:rPr>
          <w:rFonts w:ascii="宋体" w:eastAsia="宋体" w:hAnsi="宋体" w:cs="宋体" w:hint="eastAsia"/>
          <w:vanish/>
          <w:sz w:val="24"/>
        </w:rPr>
      </w:pP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1、采购人信息</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名称：南方医科大学深圳坪山医院</w:t>
      </w:r>
      <w:r>
        <w:rPr>
          <w:rFonts w:ascii="宋体" w:hAnsi="宋体" w:cs="宋体" w:hint="eastAsia"/>
          <w:sz w:val="24"/>
          <w:lang w:val="en-US" w:eastAsia="zh-CN"/>
        </w:rPr>
        <w:t>（深圳市坪山区人民医院）</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地址：</w:t>
      </w:r>
      <w:r>
        <w:rPr>
          <w:rFonts w:ascii="宋体" w:hAnsi="宋体" w:cs="宋体" w:hint="eastAsia"/>
          <w:sz w:val="24"/>
          <w:lang w:val="en-US" w:eastAsia="zh-CN"/>
        </w:rPr>
        <w:t>深圳市坪山区碧岭街道振碧路19号</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联系人：贺工</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联系电话：0755-89263930</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2、采购代理机构信息</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名　称：深圳龙达招标有限公司</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地　址：深圳市福田区沙头街道新华社区新洲十一街139号中央西谷大厦1806</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联系方式：0755-83864290</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3.项目联系方式</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项目联系人：张志辉</w:t>
      </w:r>
    </w:p>
    <w:p>
      <w:pPr>
        <w:pStyle w:val="ListParagraph"/>
        <w:spacing w:line="400" w:lineRule="exact"/>
        <w:ind w:left="425" w:firstLine="0" w:firstLineChars="0"/>
        <w:rPr>
          <w:rFonts w:ascii="宋体" w:eastAsia="宋体" w:hAnsi="宋体" w:cs="宋体" w:hint="eastAsia"/>
          <w:sz w:val="24"/>
          <w:lang w:val="en-US" w:eastAsia="zh-CN"/>
        </w:rPr>
      </w:pPr>
      <w:r>
        <w:rPr>
          <w:rFonts w:ascii="宋体" w:eastAsia="宋体" w:hAnsi="宋体" w:cs="宋体" w:hint="eastAsia"/>
          <w:sz w:val="24"/>
          <w:lang w:val="en-US" w:eastAsia="zh-CN"/>
        </w:rPr>
        <w:t>电　话：0755-83864290-820</w:t>
      </w:r>
    </w:p>
    <w:p>
      <w:pPr>
        <w:pStyle w:val="NormalWeb"/>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eastAsia"/>
          <w:b/>
        </w:rPr>
      </w:pPr>
      <w:bookmarkEnd w:id="56"/>
      <w:r>
        <w:rPr>
          <w:rFonts w:ascii="宋体" w:eastAsia="宋体" w:hAnsi="宋体" w:cs="宋体" w:hint="eastAsia"/>
          <w:b/>
          <w:kern w:val="0"/>
          <w:sz w:val="24"/>
          <w:szCs w:val="24"/>
          <w:lang w:val="en-US" w:eastAsia="zh-CN" w:bidi="ar-SA"/>
        </w:rPr>
        <w:t>注：1、</w:t>
      </w:r>
      <w:r>
        <w:rPr>
          <w:rFonts w:ascii="宋体" w:eastAsia="宋体" w:hAnsi="宋体" w:cs="宋体" w:hint="eastAsia"/>
          <w:b/>
        </w:rPr>
        <w:t>完整公告内容详见：http://zfcg.szggzy.com:8081；</w:t>
      </w:r>
    </w:p>
    <w:p>
      <w:pPr>
        <w:pStyle w:val="NormalWeb"/>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eastAsia"/>
          <w:b/>
        </w:rPr>
      </w:pPr>
      <w:r>
        <w:rPr>
          <w:rFonts w:ascii="宋体" w:eastAsia="宋体" w:hAnsi="宋体" w:cs="宋体" w:hint="eastAsia"/>
          <w:b/>
          <w:kern w:val="0"/>
          <w:sz w:val="24"/>
          <w:szCs w:val="24"/>
          <w:lang w:val="en-US" w:eastAsia="zh-CN" w:bidi="ar-SA"/>
        </w:rPr>
        <w:t>2、</w:t>
      </w:r>
      <w:r>
        <w:rPr>
          <w:rFonts w:ascii="宋体" w:eastAsia="宋体" w:hAnsi="宋体" w:cs="宋体" w:hint="eastAsia"/>
          <w:b/>
        </w:rPr>
        <w:t>“信用中国”、“中国政府采购网”、“深圳信用网”以及“深圳市政府采购监管网”为供应商信用信息的查询渠道，相关信息以开标当日的查询结果为准。</w:t>
      </w:r>
    </w:p>
    <w:p>
      <w:bookmarkEnd w:id="57"/>
      <w:bookmarkEnd w:id="58"/>
      <w:bookmarkEnd w:id="59"/>
      <w:r>
        <w:br w:type="page"/>
      </w:r>
    </w:p>
    <w:p/>
    <w:p/>
    <w:p/>
    <w:p/>
    <w:p/>
    <w:p/>
    <w:p/>
    <w:p/>
    <w:p/>
    <w:p/>
    <w:p/>
    <w:p/>
    <w:p/>
    <w:p/>
    <w:p/>
    <w:p/>
    <w:p>
      <w:pPr>
        <w:spacing w:line="400" w:lineRule="exact"/>
      </w:pPr>
    </w:p>
    <w:p>
      <w:pPr>
        <w:pStyle w:val="Heading1"/>
        <w:spacing w:line="240" w:lineRule="auto"/>
        <w:jc w:val="center"/>
      </w:pPr>
      <w:bookmarkStart w:id="79" w:name="_Toc24130"/>
      <w:bookmarkStart w:id="80" w:name="_Toc924"/>
      <w:bookmarkStart w:id="81" w:name="_Toc25641"/>
      <w:bookmarkStart w:id="82" w:name="_Toc15702"/>
      <w:bookmarkStart w:id="83" w:name="_Toc7029"/>
      <w:bookmarkStart w:id="84" w:name="_Toc256000012"/>
      <w:r>
        <w:rPr>
          <w:rFonts w:hint="eastAsia"/>
        </w:rPr>
        <w:t>第二章 项目需求</w:t>
      </w:r>
      <w:bookmarkEnd w:id="84"/>
      <w:bookmarkEnd w:id="79"/>
      <w:bookmarkEnd w:id="80"/>
      <w:bookmarkEnd w:id="81"/>
      <w:bookmarkEnd w:id="82"/>
      <w:bookmarkEnd w:id="83"/>
    </w:p>
    <w:p>
      <w:bookmarkStart w:id="85" w:name="_Toc497917573"/>
    </w:p>
    <w:p>
      <w:pPr>
        <w:keepNext/>
        <w:keepLines/>
        <w:widowControl w:val="0"/>
        <w:spacing w:before="200" w:after="200"/>
        <w:jc w:val="center"/>
        <w:outlineLvl w:val="1"/>
        <w:rPr>
          <w:rFonts w:hint="eastAsia"/>
          <w:b/>
          <w:bCs/>
          <w:sz w:val="44"/>
          <w:szCs w:val="44"/>
          <w:highlight w:val="yellow"/>
        </w:rPr>
      </w:pPr>
      <w:bookmarkStart w:id="86" w:name="_Toc17109157"/>
      <w:r>
        <w:rPr>
          <w:rFonts w:hint="eastAsia"/>
          <w:b/>
          <w:bCs/>
          <w:sz w:val="24"/>
          <w:szCs w:val="24"/>
        </w:rPr>
        <w:br w:type="page"/>
      </w:r>
      <w:bookmarkEnd w:id="85"/>
      <w:bookmarkEnd w:id="86"/>
      <w:bookmarkStart w:id="87" w:name="_Toc24474"/>
      <w:bookmarkStart w:id="88" w:name="_Toc630"/>
      <w:bookmarkStart w:id="89" w:name="_Toc256000013"/>
      <w:r>
        <w:rPr>
          <w:rFonts w:hint="eastAsia"/>
          <w:b/>
          <w:bCs/>
          <w:sz w:val="44"/>
          <w:szCs w:val="44"/>
          <w:highlight w:val="yellow"/>
          <w:lang w:val="en-US" w:eastAsia="zh-CN"/>
        </w:rPr>
        <w:t>A包：空气检测项目</w:t>
      </w:r>
      <w:bookmarkEnd w:id="89"/>
      <w:r>
        <w:rPr>
          <w:rFonts w:hint="eastAsia"/>
          <w:b/>
          <w:bCs/>
          <w:sz w:val="44"/>
          <w:szCs w:val="44"/>
          <w:highlight w:val="yellow"/>
        </w:rPr>
        <w:br/>
      </w:r>
      <w:bookmarkEnd w:id="87"/>
    </w:p>
    <w:p>
      <w:pPr>
        <w:keepNext/>
        <w:keepLines/>
        <w:widowControl w:val="0"/>
        <w:spacing w:before="200" w:after="200"/>
        <w:jc w:val="center"/>
        <w:outlineLvl w:val="2"/>
        <w:rPr>
          <w:rFonts w:eastAsia="宋体"/>
          <w:b/>
          <w:bCs/>
          <w:kern w:val="2"/>
          <w:sz w:val="32"/>
          <w:szCs w:val="32"/>
          <w:lang w:eastAsia="zh-CN"/>
        </w:rPr>
      </w:pPr>
      <w:bookmarkStart w:id="90" w:name="_Toc11512"/>
      <w:bookmarkStart w:id="91" w:name="_Toc256000014"/>
      <w:r>
        <w:rPr>
          <w:rFonts w:ascii="宋体" w:eastAsia="宋体" w:hAnsi="宋体" w:cstheme="minorBidi" w:hint="eastAsia"/>
          <w:b/>
          <w:bCs/>
          <w:kern w:val="2"/>
          <w:sz w:val="32"/>
          <w:szCs w:val="32"/>
          <w:lang w:eastAsia="zh-CN"/>
        </w:rPr>
        <w:t>一、实质性条款摘要表</w:t>
      </w:r>
      <w:bookmarkEnd w:id="91"/>
      <w:bookmarkEnd w:id="88"/>
      <w:bookmarkEnd w:id="90"/>
    </w:p>
    <w:tbl>
      <w:tblPr>
        <w:tblStyle w:val="22"/>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863"/>
        <w:gridCol w:w="6900"/>
        <w:gridCol w:w="759"/>
      </w:tblGrid>
      <w:tr>
        <w:tblPrEx>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Ex>
        <w:trPr>
          <w:trHeight w:val="323"/>
          <w:jc w:val="center"/>
        </w:trPr>
        <w:tc>
          <w:tcPr>
            <w:tcW w:w="506" w:type="pct"/>
            <w:tcBorders>
              <w:top w:val="single" w:sz="4" w:space="0" w:color="000000"/>
              <w:left w:val="single" w:sz="4" w:space="0" w:color="000000"/>
              <w:bottom w:val="single" w:sz="4" w:space="0" w:color="000000"/>
              <w:right w:val="single" w:sz="4" w:space="0" w:color="000000"/>
            </w:tcBorders>
          </w:tcPr>
          <w:p>
            <w:pPr>
              <w:widowControl w:val="0"/>
              <w:spacing w:line="400" w:lineRule="exact"/>
              <w:jc w:val="both"/>
              <w:rPr>
                <w:b/>
                <w:kern w:val="2"/>
                <w:sz w:val="21"/>
                <w:szCs w:val="21"/>
                <w:lang w:eastAsia="zh-CN"/>
              </w:rPr>
            </w:pPr>
            <w:r>
              <w:rPr>
                <w:rFonts w:ascii="宋体" w:hAnsi="宋体"/>
                <w:b/>
                <w:kern w:val="2"/>
                <w:sz w:val="21"/>
                <w:szCs w:val="21"/>
                <w:lang w:eastAsia="zh-CN"/>
              </w:rPr>
              <w:t>条款号</w:t>
            </w:r>
          </w:p>
        </w:tc>
        <w:tc>
          <w:tcPr>
            <w:tcW w:w="4048" w:type="pct"/>
            <w:tcBorders>
              <w:top w:val="single" w:sz="4" w:space="0" w:color="000000"/>
              <w:left w:val="single" w:sz="4" w:space="0" w:color="000000"/>
              <w:bottom w:val="single" w:sz="4" w:space="0" w:color="000000"/>
              <w:right w:val="single" w:sz="4" w:space="0" w:color="000000"/>
            </w:tcBorders>
          </w:tcPr>
          <w:p>
            <w:pPr>
              <w:widowControl w:val="0"/>
              <w:spacing w:line="400" w:lineRule="exact"/>
              <w:jc w:val="both"/>
              <w:rPr>
                <w:b/>
                <w:kern w:val="2"/>
                <w:sz w:val="21"/>
                <w:szCs w:val="21"/>
                <w:lang w:eastAsia="zh-CN"/>
              </w:rPr>
            </w:pPr>
            <w:r>
              <w:rPr>
                <w:rFonts w:ascii="宋体" w:hAnsi="宋体"/>
                <w:b/>
                <w:kern w:val="2"/>
                <w:sz w:val="21"/>
                <w:szCs w:val="21"/>
                <w:lang w:eastAsia="zh-CN"/>
              </w:rPr>
              <w:t>条款内容</w:t>
            </w:r>
          </w:p>
        </w:tc>
        <w:tc>
          <w:tcPr>
            <w:tcW w:w="445" w:type="pct"/>
            <w:tcBorders>
              <w:top w:val="single" w:sz="4" w:space="0" w:color="000000"/>
              <w:left w:val="single" w:sz="4" w:space="0" w:color="000000"/>
              <w:bottom w:val="single" w:sz="4" w:space="0" w:color="000000"/>
              <w:right w:val="single" w:sz="4" w:space="0" w:color="000000"/>
            </w:tcBorders>
          </w:tcPr>
          <w:p>
            <w:pPr>
              <w:widowControl w:val="0"/>
              <w:spacing w:line="400" w:lineRule="exact"/>
              <w:jc w:val="both"/>
              <w:rPr>
                <w:b/>
                <w:kern w:val="2"/>
                <w:sz w:val="21"/>
                <w:szCs w:val="21"/>
                <w:lang w:eastAsia="zh-CN"/>
              </w:rPr>
            </w:pPr>
            <w:r>
              <w:rPr>
                <w:rFonts w:ascii="宋体" w:hAnsi="宋体"/>
                <w:b/>
                <w:kern w:val="2"/>
                <w:sz w:val="21"/>
                <w:szCs w:val="21"/>
                <w:lang w:eastAsia="zh-CN"/>
              </w:rPr>
              <w:t>备注</w:t>
            </w:r>
          </w:p>
        </w:tc>
      </w:tr>
    </w:tbl>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82"/>
        <w:gridCol w:w="7640"/>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54"/>
          <w:jc w:val="center"/>
        </w:trPr>
        <w:tc>
          <w:tcPr>
            <w:tcW w:w="882" w:type="dxa"/>
            <w:vAlign w:val="top"/>
          </w:tcPr>
          <w:p>
            <w:pPr>
              <w:adjustRightInd w:val="0"/>
              <w:snapToGrid w:val="0"/>
              <w:spacing w:line="360" w:lineRule="auto"/>
              <w:jc w:val="center"/>
              <w:rPr>
                <w:rFonts w:ascii="宋体" w:eastAsia="宋体" w:hAnsi="宋体" w:cs="宋体" w:hint="default"/>
                <w:b/>
                <w:color w:val="000000" w:themeColor="text1"/>
                <w:sz w:val="21"/>
                <w:szCs w:val="21"/>
                <w:lang w:val="en-US" w:eastAsia="zh-CN"/>
                <w14:textFill>
                  <w14:solidFill>
                    <w14:schemeClr w14:val="tx1"/>
                  </w14:solidFill>
                </w14:textFill>
              </w:rPr>
            </w:pPr>
            <w:r>
              <w:rPr>
                <w:rFonts w:ascii="宋体" w:hAnsi="宋体" w:cs="宋体" w:hint="eastAsia"/>
                <w:b/>
                <w:color w:val="000000" w:themeColor="text1"/>
                <w:sz w:val="21"/>
                <w:szCs w:val="21"/>
                <w:lang w:val="en-US" w:eastAsia="zh-CN"/>
                <w14:textFill>
                  <w14:solidFill>
                    <w14:schemeClr w14:val="tx1"/>
                  </w14:solidFill>
                </w14:textFill>
              </w:rPr>
              <w:t>3.3.1</w:t>
            </w:r>
          </w:p>
        </w:tc>
        <w:tc>
          <w:tcPr>
            <w:tcW w:w="7640" w:type="dxa"/>
            <w:vAlign w:val="top"/>
          </w:tcPr>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6"/>
              <w:gridCol w:w="1896"/>
              <w:gridCol w:w="137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blHeader/>
                <w:jc w:val="center"/>
              </w:trPr>
              <w:tc>
                <w:tcPr>
                  <w:tcW w:w="63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序号</w:t>
                  </w:r>
                </w:p>
              </w:tc>
              <w:tc>
                <w:tcPr>
                  <w:tcW w:w="189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b/>
                      <w:bCs/>
                      <w:color w:val="auto"/>
                      <w:sz w:val="21"/>
                      <w:szCs w:val="21"/>
                      <w:highlight w:val="none"/>
                      <w:shd w:val="clear" w:color="FFFFFF" w:fill="D9D9D9"/>
                      <w:lang w:val="en-US" w:eastAsia="zh-CN"/>
                    </w:rPr>
                  </w:pPr>
                  <w:r>
                    <w:rPr>
                      <w:rFonts w:ascii="宋体" w:eastAsia="宋体" w:hAnsi="宋体" w:cs="宋体" w:hint="eastAsia"/>
                      <w:b/>
                      <w:bCs/>
                      <w:color w:val="auto"/>
                      <w:sz w:val="21"/>
                      <w:szCs w:val="21"/>
                      <w:highlight w:val="none"/>
                      <w:shd w:val="clear" w:color="FFFFFF" w:fill="D9D9D9"/>
                      <w:lang w:val="en-US" w:eastAsia="zh-CN"/>
                    </w:rPr>
                    <w:t>★岗位</w:t>
                  </w:r>
                </w:p>
              </w:tc>
              <w:tc>
                <w:tcPr>
                  <w:tcW w:w="1371"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b/>
                      <w:bCs/>
                      <w:color w:val="auto"/>
                      <w:sz w:val="21"/>
                      <w:szCs w:val="21"/>
                      <w:highlight w:val="none"/>
                      <w:shd w:val="clear" w:color="FFFFFF" w:fill="D9D9D9"/>
                      <w:lang w:val="en-US" w:eastAsia="zh-CN"/>
                    </w:rPr>
                  </w:pPr>
                  <w:r>
                    <w:rPr>
                      <w:rFonts w:ascii="宋体" w:eastAsia="宋体" w:hAnsi="宋体" w:cs="宋体" w:hint="eastAsia"/>
                      <w:b/>
                      <w:bCs/>
                      <w:color w:val="auto"/>
                      <w:sz w:val="21"/>
                      <w:szCs w:val="21"/>
                      <w:highlight w:val="none"/>
                      <w:shd w:val="clear" w:color="FFFFFF" w:fill="D9D9D9"/>
                      <w:lang w:val="en-US" w:eastAsia="zh-CN"/>
                    </w:rPr>
                    <w:t>★人数</w:t>
                  </w:r>
                </w:p>
              </w:tc>
            </w:tr>
            <w:tr>
              <w:tblPrEx>
                <w:tblW w:w="0" w:type="auto"/>
                <w:jc w:val="center"/>
                <w:tblCellMar>
                  <w:top w:w="0" w:type="dxa"/>
                  <w:left w:w="108" w:type="dxa"/>
                  <w:bottom w:w="0" w:type="dxa"/>
                  <w:right w:w="108" w:type="dxa"/>
                </w:tblCellMar>
              </w:tblPrEx>
              <w:trPr>
                <w:jc w:val="center"/>
              </w:trPr>
              <w:tc>
                <w:tcPr>
                  <w:tcW w:w="63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w:t>
                  </w:r>
                </w:p>
              </w:tc>
              <w:tc>
                <w:tcPr>
                  <w:tcW w:w="1896"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default"/>
                      <w:color w:val="auto"/>
                      <w:sz w:val="21"/>
                      <w:szCs w:val="21"/>
                      <w:highlight w:val="none"/>
                      <w:lang w:val="en-US" w:eastAsia="zh-CN"/>
                    </w:rPr>
                  </w:pPr>
                  <w:r>
                    <w:rPr>
                      <w:rFonts w:ascii="宋体" w:eastAsia="宋体" w:hAnsi="宋体" w:cs="宋体" w:hint="eastAsia"/>
                      <w:color w:val="auto"/>
                      <w:sz w:val="21"/>
                      <w:szCs w:val="21"/>
                      <w:highlight w:val="none"/>
                      <w:lang w:val="en-US" w:eastAsia="zh-CN"/>
                    </w:rPr>
                    <w:t>项目</w:t>
                  </w:r>
                  <w:r>
                    <w:rPr>
                      <w:rFonts w:ascii="宋体" w:hAnsi="宋体" w:cs="宋体" w:hint="eastAsia"/>
                      <w:color w:val="auto"/>
                      <w:sz w:val="21"/>
                      <w:szCs w:val="21"/>
                      <w:highlight w:val="none"/>
                      <w:lang w:val="en-US" w:eastAsia="zh-CN"/>
                    </w:rPr>
                    <w:t>负责人</w:t>
                  </w:r>
                </w:p>
              </w:tc>
              <w:tc>
                <w:tcPr>
                  <w:tcW w:w="1371"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1人</w:t>
                  </w:r>
                </w:p>
              </w:tc>
            </w:tr>
            <w:tr>
              <w:tblPrEx>
                <w:tblW w:w="0" w:type="auto"/>
                <w:jc w:val="center"/>
                <w:tblCellMar>
                  <w:top w:w="0" w:type="dxa"/>
                  <w:left w:w="108" w:type="dxa"/>
                  <w:bottom w:w="0" w:type="dxa"/>
                  <w:right w:w="108" w:type="dxa"/>
                </w:tblCellMar>
              </w:tblPrEx>
              <w:trPr>
                <w:jc w:val="center"/>
              </w:trPr>
              <w:tc>
                <w:tcPr>
                  <w:tcW w:w="63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2</w:t>
                  </w:r>
                </w:p>
              </w:tc>
              <w:tc>
                <w:tcPr>
                  <w:tcW w:w="1896"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Cs w:val="21"/>
                    </w:rPr>
                    <w:t>项目主要团队成员</w:t>
                  </w:r>
                </w:p>
              </w:tc>
              <w:tc>
                <w:tcPr>
                  <w:tcW w:w="1371"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lang w:val="en-US" w:eastAsia="zh-CN"/>
                    </w:rPr>
                    <w:t>不少于10</w:t>
                  </w:r>
                  <w:r>
                    <w:rPr>
                      <w:rFonts w:ascii="宋体" w:eastAsia="宋体" w:hAnsi="宋体" w:cs="宋体" w:hint="eastAsia"/>
                      <w:color w:val="auto"/>
                      <w:sz w:val="21"/>
                      <w:szCs w:val="21"/>
                      <w:highlight w:val="none"/>
                      <w:lang w:val="en-US" w:eastAsia="zh-CN"/>
                    </w:rPr>
                    <w:t>人</w:t>
                  </w:r>
                </w:p>
              </w:tc>
            </w:tr>
          </w:tbl>
          <w:p>
            <w:pPr>
              <w:spacing w:line="360" w:lineRule="auto"/>
              <w:rPr>
                <w:rFonts w:ascii="宋体" w:eastAsia="宋体" w:hAnsi="宋体" w:cs="宋体" w:hint="eastAsia"/>
                <w:b/>
                <w:color w:val="000000" w:themeColor="text1"/>
                <w:sz w:val="21"/>
                <w:szCs w:val="21"/>
                <w14:textFill>
                  <w14:solidFill>
                    <w14:schemeClr w14:val="tx1"/>
                  </w14:solidFill>
                </w14:textFill>
              </w:rPr>
            </w:pPr>
          </w:p>
        </w:tc>
      </w:tr>
      <w:tr>
        <w:tblPrEx>
          <w:tblW w:w="5000" w:type="pct"/>
          <w:jc w:val="center"/>
          <w:tblCellMar>
            <w:top w:w="0" w:type="dxa"/>
            <w:left w:w="108" w:type="dxa"/>
            <w:bottom w:w="0" w:type="dxa"/>
            <w:right w:w="108" w:type="dxa"/>
          </w:tblCellMar>
        </w:tblPrEx>
        <w:trPr>
          <w:trHeight w:val="454"/>
          <w:jc w:val="center"/>
        </w:trPr>
        <w:tc>
          <w:tcPr>
            <w:tcW w:w="882" w:type="dxa"/>
            <w:vAlign w:val="top"/>
          </w:tcPr>
          <w:p>
            <w:pPr>
              <w:adjustRightInd w:val="0"/>
              <w:snapToGrid w:val="0"/>
              <w:spacing w:line="360" w:lineRule="auto"/>
              <w:jc w:val="center"/>
              <w:rPr>
                <w:rFonts w:ascii="宋体" w:eastAsia="宋体" w:hAnsi="宋体" w:cs="宋体" w:hint="default"/>
                <w:b/>
                <w:color w:val="000000" w:themeColor="text1"/>
                <w:sz w:val="21"/>
                <w:szCs w:val="21"/>
                <w:lang w:val="en-US" w:eastAsia="zh-CN"/>
                <w14:textFill>
                  <w14:solidFill>
                    <w14:schemeClr w14:val="tx1"/>
                  </w14:solidFill>
                </w14:textFill>
              </w:rPr>
            </w:pPr>
            <w:r>
              <w:rPr>
                <w:rFonts w:ascii="宋体" w:hAnsi="宋体" w:cs="宋体" w:hint="eastAsia"/>
                <w:b/>
                <w:color w:val="000000" w:themeColor="text1"/>
                <w:sz w:val="21"/>
                <w:szCs w:val="21"/>
                <w:lang w:val="en-US" w:eastAsia="zh-CN"/>
                <w14:textFill>
                  <w14:solidFill>
                    <w14:schemeClr w14:val="tx1"/>
                  </w14:solidFill>
                </w14:textFill>
              </w:rPr>
              <w:t>3.4.3</w:t>
            </w:r>
          </w:p>
        </w:tc>
        <w:tc>
          <w:tcPr>
            <w:tcW w:w="7640" w:type="dxa"/>
            <w:vAlign w:val="top"/>
          </w:tcPr>
          <w:p>
            <w:pPr>
              <w:topLinePunct/>
              <w:adjustRightInd w:val="0"/>
              <w:ind w:firstLine="210" w:firstLineChars="100"/>
              <w:rPr>
                <w:rFonts w:ascii="宋体" w:hAnsi="宋体" w:cs="宋体"/>
                <w:b/>
                <w:bCs/>
                <w:color w:val="auto"/>
                <w:szCs w:val="21"/>
                <w:highlight w:val="none"/>
              </w:rPr>
            </w:pPr>
            <w:r>
              <w:rPr>
                <w:rFonts w:ascii="宋体" w:hAnsi="宋体" w:cs="宋体" w:hint="eastAsia"/>
                <w:color w:val="auto"/>
                <w:spacing w:val="-3"/>
                <w:szCs w:val="21"/>
                <w:highlight w:val="none"/>
              </w:rPr>
              <w:t>★</w:t>
            </w:r>
            <w:r>
              <w:rPr>
                <w:rFonts w:ascii="宋体" w:hAnsi="宋体" w:cs="宋体" w:hint="eastAsia"/>
                <w:b/>
                <w:bCs/>
                <w:color w:val="auto"/>
                <w:szCs w:val="21"/>
                <w:highlight w:val="none"/>
                <w:lang w:val="en-US" w:eastAsia="zh-CN"/>
              </w:rPr>
              <w:t>检测</w:t>
            </w:r>
            <w:r>
              <w:rPr>
                <w:rFonts w:ascii="宋体" w:hAnsi="宋体" w:cs="宋体"/>
                <w:b/>
                <w:bCs/>
                <w:color w:val="auto"/>
                <w:szCs w:val="21"/>
                <w:highlight w:val="none"/>
              </w:rPr>
              <w:t>设备最低配置表</w:t>
            </w:r>
          </w:p>
          <w:tbl>
            <w:tblPr>
              <w:tblStyle w:val="TableNormal"/>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28"/>
              <w:gridCol w:w="1606"/>
              <w:gridCol w:w="528"/>
              <w:gridCol w:w="528"/>
              <w:gridCol w:w="4110"/>
            </w:tblGrid>
            <w:tr>
              <w:tblPrEx>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69"/>
              </w:trPr>
              <w:tc>
                <w:tcPr>
                  <w:tcW w:w="0" w:type="auto"/>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序号</w:t>
                  </w:r>
                </w:p>
              </w:tc>
              <w:tc>
                <w:tcPr>
                  <w:tcW w:w="0" w:type="auto"/>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名称</w:t>
                  </w:r>
                </w:p>
              </w:tc>
              <w:tc>
                <w:tcPr>
                  <w:tcW w:w="0" w:type="auto"/>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单位</w:t>
                  </w:r>
                </w:p>
              </w:tc>
              <w:tc>
                <w:tcPr>
                  <w:tcW w:w="0" w:type="auto"/>
                  <w:shd w:val="clear" w:color="auto" w:fill="auto"/>
                  <w:vAlign w:val="center"/>
                </w:tcPr>
                <w:p>
                  <w:pPr>
                    <w:widowControl/>
                    <w:jc w:val="center"/>
                    <w:textAlignment w:val="top"/>
                    <w:rPr>
                      <w:rFonts w:ascii="宋体" w:hAnsi="宋体" w:cs="宋体"/>
                      <w:b/>
                      <w:bCs/>
                      <w:color w:val="auto"/>
                      <w:szCs w:val="21"/>
                      <w:highlight w:val="none"/>
                    </w:rPr>
                  </w:pPr>
                  <w:r>
                    <w:rPr>
                      <w:rFonts w:ascii="宋体" w:hAnsi="宋体" w:cs="宋体" w:hint="eastAsia"/>
                      <w:b/>
                      <w:bCs/>
                      <w:color w:val="auto"/>
                      <w:kern w:val="0"/>
                      <w:szCs w:val="21"/>
                      <w:highlight w:val="none"/>
                    </w:rPr>
                    <w:t>数量</w:t>
                  </w:r>
                </w:p>
              </w:tc>
              <w:tc>
                <w:tcPr>
                  <w:tcW w:w="0" w:type="auto"/>
                  <w:shd w:val="clear" w:color="auto" w:fill="auto"/>
                  <w:vAlign w:val="center"/>
                </w:tcPr>
                <w:p>
                  <w:pPr>
                    <w:widowControl/>
                    <w:jc w:val="center"/>
                    <w:textAlignment w:val="top"/>
                    <w:rPr>
                      <w:rFonts w:ascii="宋体" w:hAnsi="宋体" w:cs="宋体"/>
                      <w:b/>
                      <w:bCs/>
                      <w:color w:val="auto"/>
                      <w:kern w:val="0"/>
                      <w:szCs w:val="21"/>
                      <w:highlight w:val="none"/>
                    </w:rPr>
                  </w:pPr>
                  <w:r>
                    <w:rPr>
                      <w:rFonts w:ascii="宋体" w:hAnsi="宋体" w:cs="宋体" w:hint="eastAsia"/>
                      <w:b/>
                      <w:bCs/>
                      <w:color w:val="auto"/>
                      <w:kern w:val="0"/>
                      <w:szCs w:val="21"/>
                      <w:highlight w:val="none"/>
                    </w:rPr>
                    <w:t>备注</w:t>
                  </w:r>
                </w:p>
              </w:tc>
            </w:tr>
            <w:tr>
              <w:tblPrEx>
                <w:tblW w:w="0" w:type="auto"/>
                <w:tblInd w:w="114" w:type="dxa"/>
                <w:tblCellMar>
                  <w:top w:w="0" w:type="dxa"/>
                  <w:left w:w="108" w:type="dxa"/>
                  <w:bottom w:w="0" w:type="dxa"/>
                  <w:right w:w="108" w:type="dxa"/>
                </w:tblCellMar>
              </w:tblPrEx>
              <w:trPr>
                <w:trHeight w:val="849"/>
              </w:trPr>
              <w:tc>
                <w:tcPr>
                  <w:tcW w:w="0" w:type="auto"/>
                  <w:vAlign w:val="center"/>
                </w:tcPr>
                <w:p>
                  <w:pPr>
                    <w:widowControl/>
                    <w:jc w:val="center"/>
                    <w:textAlignment w:val="center"/>
                    <w:rPr>
                      <w:rFonts w:ascii="宋体" w:hAnsi="宋体" w:cs="宋体"/>
                      <w:color w:val="auto"/>
                      <w:szCs w:val="21"/>
                      <w:highlight w:val="none"/>
                    </w:rPr>
                  </w:pPr>
                  <w:r>
                    <w:rPr>
                      <w:rFonts w:ascii="宋体" w:hAnsi="宋体" w:cs="宋体"/>
                      <w:color w:val="auto"/>
                      <w:kern w:val="0"/>
                      <w:szCs w:val="21"/>
                      <w:highlight w:val="none"/>
                    </w:rPr>
                    <w:t>1</w:t>
                  </w:r>
                </w:p>
              </w:tc>
              <w:tc>
                <w:tcPr>
                  <w:tcW w:w="0" w:type="auto"/>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hAnsi="宋体" w:cs="宋体" w:hint="eastAsia"/>
                      <w:color w:val="auto"/>
                      <w:kern w:val="0"/>
                      <w:szCs w:val="21"/>
                      <w:highlight w:val="none"/>
                      <w:lang w:val="en-US" w:eastAsia="zh-CN"/>
                    </w:rPr>
                    <w:t>大气采样器</w:t>
                  </w:r>
                </w:p>
              </w:tc>
              <w:tc>
                <w:tcPr>
                  <w:tcW w:w="0" w:type="auto"/>
                  <w:vAlign w:val="center"/>
                </w:tcPr>
                <w:p>
                  <w:pPr>
                    <w:widowControl/>
                    <w:jc w:val="center"/>
                    <w:textAlignment w:val="center"/>
                    <w:rPr>
                      <w:rFonts w:ascii="宋体" w:hAnsi="宋体" w:cs="宋体"/>
                      <w:color w:val="auto"/>
                      <w:szCs w:val="21"/>
                      <w:highlight w:val="none"/>
                    </w:rPr>
                  </w:pPr>
                  <w:r>
                    <w:rPr>
                      <w:rFonts w:ascii="宋体" w:hAnsi="宋体" w:cs="宋体" w:hint="eastAsia"/>
                      <w:color w:val="auto"/>
                      <w:kern w:val="0"/>
                      <w:szCs w:val="21"/>
                      <w:highlight w:val="none"/>
                    </w:rPr>
                    <w:t>台</w:t>
                  </w:r>
                </w:p>
              </w:tc>
              <w:tc>
                <w:tcPr>
                  <w:tcW w:w="0" w:type="auto"/>
                  <w:vAlign w:val="center"/>
                </w:tcPr>
                <w:p>
                  <w:pPr>
                    <w:widowControl/>
                    <w:jc w:val="center"/>
                    <w:textAlignment w:val="top"/>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20</w:t>
                  </w:r>
                </w:p>
              </w:tc>
              <w:tc>
                <w:tcPr>
                  <w:tcW w:w="0" w:type="auto"/>
                  <w:vMerge w:val="restart"/>
                  <w:vAlign w:val="center"/>
                </w:tcPr>
                <w:p>
                  <w:pPr>
                    <w:widowControl/>
                    <w:jc w:val="center"/>
                    <w:textAlignment w:val="top"/>
                    <w:rPr>
                      <w:rFonts w:ascii="宋体" w:hAnsi="宋体" w:cs="宋体"/>
                      <w:color w:val="auto"/>
                      <w:kern w:val="0"/>
                      <w:szCs w:val="21"/>
                      <w:highlight w:val="none"/>
                    </w:rPr>
                  </w:pPr>
                  <w:r>
                    <w:rPr>
                      <w:rFonts w:ascii="宋体" w:hAnsi="宋体" w:cs="宋体"/>
                      <w:color w:val="auto"/>
                      <w:kern w:val="0"/>
                      <w:szCs w:val="21"/>
                      <w:highlight w:val="none"/>
                    </w:rPr>
                    <w:t>1、上述设备配置数量为最低要求；</w:t>
                  </w:r>
                </w:p>
                <w:p>
                  <w:pPr>
                    <w:widowControl/>
                    <w:jc w:val="center"/>
                    <w:textAlignment w:val="top"/>
                    <w:rPr>
                      <w:rFonts w:ascii="宋体" w:hAnsi="宋体" w:cs="宋体"/>
                      <w:color w:val="auto"/>
                      <w:kern w:val="0"/>
                      <w:szCs w:val="21"/>
                      <w:highlight w:val="none"/>
                    </w:rPr>
                  </w:pPr>
                  <w:r>
                    <w:rPr>
                      <w:rFonts w:ascii="宋体" w:hAnsi="宋体" w:cs="宋体"/>
                      <w:color w:val="auto"/>
                      <w:kern w:val="0"/>
                      <w:szCs w:val="21"/>
                      <w:highlight w:val="none"/>
                    </w:rPr>
                    <w:t>2、供应商应根据实际工作需求及时增</w:t>
                  </w:r>
                  <w:r>
                    <w:rPr>
                      <w:rFonts w:ascii="宋体" w:hAnsi="宋体" w:cs="宋体" w:hint="eastAsia"/>
                      <w:color w:val="auto"/>
                      <w:kern w:val="0"/>
                      <w:szCs w:val="21"/>
                      <w:highlight w:val="none"/>
                    </w:rPr>
                    <w:t>加配足设备；</w:t>
                  </w:r>
                </w:p>
                <w:p>
                  <w:pPr>
                    <w:widowControl/>
                    <w:jc w:val="center"/>
                    <w:textAlignment w:val="top"/>
                    <w:rPr>
                      <w:rFonts w:ascii="宋体" w:hAnsi="宋体" w:cs="宋体"/>
                      <w:color w:val="auto"/>
                      <w:kern w:val="0"/>
                      <w:szCs w:val="21"/>
                      <w:highlight w:val="none"/>
                    </w:rPr>
                  </w:pPr>
                  <w:r>
                    <w:rPr>
                      <w:rFonts w:ascii="宋体" w:hAnsi="宋体" w:cs="宋体"/>
                      <w:color w:val="auto"/>
                      <w:kern w:val="0"/>
                      <w:szCs w:val="21"/>
                      <w:highlight w:val="none"/>
                    </w:rPr>
                    <w:t>3、所有设备使用过程中所涉及的维护保养费（维护、维修等）等由中标单位承担。</w:t>
                  </w:r>
                </w:p>
                <w:p>
                  <w:pPr>
                    <w:pStyle w:val="NormalIndent"/>
                    <w:ind w:firstLine="0"/>
                    <w:jc w:val="center"/>
                    <w:rPr>
                      <w:rFonts w:ascii="宋体" w:eastAsia="宋体" w:hAnsi="宋体" w:cs="宋体" w:hint="eastAsia"/>
                      <w:color w:val="auto"/>
                      <w:highlight w:val="none"/>
                      <w:lang w:val="en-US" w:eastAsia="zh-CN"/>
                    </w:rPr>
                  </w:pPr>
                </w:p>
              </w:tc>
            </w:tr>
            <w:tr>
              <w:tblPrEx>
                <w:tblW w:w="0" w:type="auto"/>
                <w:tblInd w:w="114" w:type="dxa"/>
                <w:tblCellMar>
                  <w:top w:w="0" w:type="dxa"/>
                  <w:left w:w="108" w:type="dxa"/>
                  <w:bottom w:w="0" w:type="dxa"/>
                  <w:right w:w="108" w:type="dxa"/>
                </w:tblCellMar>
              </w:tblPrEx>
              <w:trPr>
                <w:trHeight w:val="369"/>
              </w:trPr>
              <w:tc>
                <w:tcPr>
                  <w:tcW w:w="0" w:type="auto"/>
                  <w:vAlign w:val="center"/>
                </w:tcPr>
                <w:p>
                  <w:pPr>
                    <w:widowControl/>
                    <w:jc w:val="center"/>
                    <w:textAlignment w:val="center"/>
                    <w:rPr>
                      <w:rFonts w:ascii="宋体" w:hAnsi="宋体" w:cs="宋体"/>
                      <w:color w:val="auto"/>
                      <w:szCs w:val="21"/>
                      <w:highlight w:val="none"/>
                    </w:rPr>
                  </w:pPr>
                  <w:r>
                    <w:rPr>
                      <w:rFonts w:ascii="宋体" w:hAnsi="宋体" w:cs="宋体"/>
                      <w:color w:val="auto"/>
                      <w:kern w:val="0"/>
                      <w:szCs w:val="21"/>
                      <w:highlight w:val="none"/>
                    </w:rPr>
                    <w:t>2</w:t>
                  </w:r>
                </w:p>
              </w:tc>
              <w:tc>
                <w:tcPr>
                  <w:tcW w:w="0" w:type="auto"/>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hAnsi="宋体" w:cs="宋体" w:hint="eastAsia"/>
                      <w:color w:val="auto"/>
                      <w:kern w:val="0"/>
                      <w:szCs w:val="21"/>
                      <w:highlight w:val="none"/>
                      <w:lang w:val="en-US" w:eastAsia="zh-CN"/>
                    </w:rPr>
                    <w:t>气相色谱质谱联用仪+热脱附</w:t>
                  </w:r>
                </w:p>
              </w:tc>
              <w:tc>
                <w:tcPr>
                  <w:tcW w:w="0" w:type="auto"/>
                  <w:vAlign w:val="center"/>
                </w:tcPr>
                <w:p>
                  <w:pPr>
                    <w:widowControl/>
                    <w:jc w:val="center"/>
                    <w:textAlignment w:val="center"/>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台套</w:t>
                  </w:r>
                </w:p>
              </w:tc>
              <w:tc>
                <w:tcPr>
                  <w:tcW w:w="0" w:type="auto"/>
                  <w:vAlign w:val="center"/>
                </w:tcPr>
                <w:p>
                  <w:pPr>
                    <w:widowControl/>
                    <w:jc w:val="center"/>
                    <w:textAlignment w:val="top"/>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2</w:t>
                  </w:r>
                </w:p>
              </w:tc>
              <w:tc>
                <w:tcPr>
                  <w:tcW w:w="0" w:type="auto"/>
                  <w:vMerge/>
                  <w:vAlign w:val="center"/>
                </w:tcPr>
                <w:p>
                  <w:pPr>
                    <w:widowControl/>
                    <w:jc w:val="center"/>
                    <w:textAlignment w:val="top"/>
                    <w:rPr>
                      <w:rFonts w:ascii="宋体" w:hAnsi="宋体" w:cs="宋体"/>
                      <w:color w:val="auto"/>
                      <w:kern w:val="0"/>
                      <w:szCs w:val="21"/>
                      <w:highlight w:val="none"/>
                    </w:rPr>
                  </w:pPr>
                </w:p>
              </w:tc>
            </w:tr>
            <w:tr>
              <w:tblPrEx>
                <w:tblW w:w="0" w:type="auto"/>
                <w:tblInd w:w="114" w:type="dxa"/>
                <w:tblCellMar>
                  <w:top w:w="0" w:type="dxa"/>
                  <w:left w:w="108" w:type="dxa"/>
                  <w:bottom w:w="0" w:type="dxa"/>
                  <w:right w:w="108" w:type="dxa"/>
                </w:tblCellMar>
              </w:tblPrEx>
              <w:trPr>
                <w:trHeight w:val="369"/>
              </w:trPr>
              <w:tc>
                <w:tcPr>
                  <w:tcW w:w="0" w:type="auto"/>
                  <w:vAlign w:val="center"/>
                </w:tcPr>
                <w:p>
                  <w:pPr>
                    <w:widowControl/>
                    <w:jc w:val="center"/>
                    <w:textAlignment w:val="center"/>
                    <w:rPr>
                      <w:rFonts w:ascii="宋体" w:eastAsia="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3</w:t>
                  </w:r>
                </w:p>
              </w:tc>
              <w:tc>
                <w:tcPr>
                  <w:tcW w:w="0" w:type="auto"/>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eastAsia="宋体" w:hAnsi="宋体" w:cs="宋体"/>
                      <w:sz w:val="24"/>
                      <w:szCs w:val="24"/>
                    </w:rPr>
                    <w:t>热脱附仪联用气相色谱仪</w:t>
                  </w:r>
                </w:p>
              </w:tc>
              <w:tc>
                <w:tcPr>
                  <w:tcW w:w="0" w:type="auto"/>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台套</w:t>
                  </w:r>
                </w:p>
              </w:tc>
              <w:tc>
                <w:tcPr>
                  <w:tcW w:w="0" w:type="auto"/>
                  <w:vAlign w:val="center"/>
                </w:tcPr>
                <w:p>
                  <w:pPr>
                    <w:widowControl/>
                    <w:jc w:val="center"/>
                    <w:textAlignment w:val="top"/>
                    <w:rPr>
                      <w:rFonts w:ascii="宋体" w:hAnsi="宋体" w:cs="宋体" w:hint="default"/>
                      <w:color w:val="auto"/>
                      <w:kern w:val="0"/>
                      <w:szCs w:val="21"/>
                      <w:highlight w:val="none"/>
                      <w:lang w:val="en-US" w:eastAsia="zh-CN"/>
                    </w:rPr>
                  </w:pPr>
                  <w:r>
                    <w:rPr>
                      <w:rFonts w:ascii="宋体" w:hAnsi="宋体" w:cs="宋体" w:hint="eastAsia"/>
                      <w:color w:val="auto"/>
                      <w:kern w:val="0"/>
                      <w:szCs w:val="21"/>
                      <w:highlight w:val="none"/>
                      <w:lang w:val="en-US" w:eastAsia="zh-CN"/>
                    </w:rPr>
                    <w:t>2</w:t>
                  </w:r>
                </w:p>
              </w:tc>
              <w:tc>
                <w:tcPr>
                  <w:tcW w:w="0" w:type="auto"/>
                  <w:vMerge/>
                  <w:vAlign w:val="center"/>
                </w:tcPr>
                <w:p>
                  <w:pPr>
                    <w:widowControl/>
                    <w:jc w:val="center"/>
                    <w:textAlignment w:val="top"/>
                    <w:rPr>
                      <w:rFonts w:ascii="宋体" w:hAnsi="宋体" w:cs="宋体"/>
                      <w:color w:val="auto"/>
                      <w:kern w:val="0"/>
                      <w:szCs w:val="21"/>
                      <w:highlight w:val="none"/>
                    </w:rPr>
                  </w:pPr>
                </w:p>
              </w:tc>
            </w:tr>
            <w:tr>
              <w:tblPrEx>
                <w:tblW w:w="0" w:type="auto"/>
                <w:tblInd w:w="114" w:type="dxa"/>
                <w:tblCellMar>
                  <w:top w:w="0" w:type="dxa"/>
                  <w:left w:w="108" w:type="dxa"/>
                  <w:bottom w:w="0" w:type="dxa"/>
                  <w:right w:w="108" w:type="dxa"/>
                </w:tblCellMar>
              </w:tblPrEx>
              <w:trPr>
                <w:trHeight w:val="369"/>
              </w:trPr>
              <w:tc>
                <w:tcPr>
                  <w:tcW w:w="0" w:type="auto"/>
                  <w:vAlign w:val="center"/>
                </w:tcPr>
                <w:p>
                  <w:pPr>
                    <w:widowControl/>
                    <w:jc w:val="center"/>
                    <w:textAlignment w:val="center"/>
                    <w:rPr>
                      <w:rFonts w:ascii="宋体" w:eastAsia="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4</w:t>
                  </w:r>
                </w:p>
              </w:tc>
              <w:tc>
                <w:tcPr>
                  <w:tcW w:w="0" w:type="auto"/>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分光光度计</w:t>
                  </w:r>
                </w:p>
              </w:tc>
              <w:tc>
                <w:tcPr>
                  <w:tcW w:w="0" w:type="auto"/>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台套</w:t>
                  </w:r>
                </w:p>
              </w:tc>
              <w:tc>
                <w:tcPr>
                  <w:tcW w:w="0" w:type="auto"/>
                  <w:vAlign w:val="center"/>
                </w:tcPr>
                <w:p>
                  <w:pPr>
                    <w:widowControl/>
                    <w:jc w:val="center"/>
                    <w:textAlignment w:val="top"/>
                    <w:rPr>
                      <w:rFonts w:ascii="宋体" w:hAnsi="宋体" w:cs="宋体" w:hint="default"/>
                      <w:color w:val="auto"/>
                      <w:kern w:val="0"/>
                      <w:szCs w:val="21"/>
                      <w:highlight w:val="none"/>
                      <w:lang w:val="en-US" w:eastAsia="zh-CN"/>
                    </w:rPr>
                  </w:pPr>
                  <w:r>
                    <w:rPr>
                      <w:rFonts w:ascii="宋体" w:hAnsi="宋体" w:cs="宋体" w:hint="eastAsia"/>
                      <w:color w:val="auto"/>
                      <w:kern w:val="0"/>
                      <w:szCs w:val="21"/>
                      <w:highlight w:val="none"/>
                      <w:lang w:val="en-US" w:eastAsia="zh-CN"/>
                    </w:rPr>
                    <w:t>2</w:t>
                  </w:r>
                </w:p>
              </w:tc>
              <w:tc>
                <w:tcPr>
                  <w:tcW w:w="0" w:type="auto"/>
                  <w:vMerge/>
                  <w:vAlign w:val="center"/>
                </w:tcPr>
                <w:p>
                  <w:pPr>
                    <w:widowControl/>
                    <w:jc w:val="center"/>
                    <w:textAlignment w:val="top"/>
                    <w:rPr>
                      <w:rFonts w:ascii="宋体" w:hAnsi="宋体" w:cs="宋体"/>
                      <w:color w:val="auto"/>
                      <w:kern w:val="0"/>
                      <w:szCs w:val="21"/>
                      <w:highlight w:val="none"/>
                    </w:rPr>
                  </w:pPr>
                </w:p>
              </w:tc>
            </w:tr>
          </w:tbl>
          <w:p>
            <w:pPr>
              <w:spacing w:line="360" w:lineRule="auto"/>
              <w:rPr>
                <w:rFonts w:ascii="宋体" w:eastAsia="宋体" w:hAnsi="宋体" w:cs="宋体" w:hint="eastAsia"/>
                <w:b/>
                <w:color w:val="000000" w:themeColor="text1"/>
                <w:sz w:val="21"/>
                <w:szCs w:val="21"/>
                <w14:textFill>
                  <w14:solidFill>
                    <w14:schemeClr w14:val="tx1"/>
                  </w14:solidFill>
                </w14:textFill>
              </w:rPr>
            </w:pPr>
          </w:p>
        </w:tc>
      </w:tr>
    </w:tbl>
    <w:p>
      <w:pPr>
        <w:widowControl w:val="0"/>
        <w:spacing w:line="400" w:lineRule="exact"/>
        <w:ind w:firstLine="424" w:firstLineChars="202"/>
        <w:jc w:val="both"/>
        <w:rPr>
          <w:rFonts w:ascii="Calibri" w:eastAsia="宋体" w:hAnsi="Calibri"/>
          <w:kern w:val="2"/>
          <w:sz w:val="21"/>
          <w:szCs w:val="21"/>
          <w:lang w:eastAsia="zh-CN"/>
        </w:rPr>
      </w:pPr>
      <w:r>
        <w:rPr>
          <w:rFonts w:ascii="宋体" w:eastAsia="宋体" w:hAnsi="宋体" w:hint="eastAsia"/>
          <w:kern w:val="2"/>
          <w:sz w:val="21"/>
          <w:szCs w:val="21"/>
          <w:lang w:eastAsia="zh-CN"/>
        </w:rPr>
        <w:t>注：</w:t>
      </w:r>
      <w:r>
        <w:rPr>
          <w:rFonts w:ascii="Calibri" w:eastAsia="宋体" w:hAnsi="Calibri" w:cs="Calibri" w:hint="eastAsia"/>
          <w:kern w:val="2"/>
          <w:sz w:val="21"/>
          <w:szCs w:val="21"/>
          <w:lang w:eastAsia="zh-CN"/>
        </w:rPr>
        <w:t>1</w:t>
      </w:r>
      <w:r>
        <w:rPr>
          <w:rFonts w:ascii="宋体" w:eastAsia="宋体" w:hAnsi="宋体" w:hint="eastAsia"/>
          <w:kern w:val="2"/>
          <w:sz w:val="21"/>
          <w:szCs w:val="21"/>
          <w:lang w:eastAsia="zh-CN"/>
        </w:rPr>
        <w:t>、标注“★”符号的条款为实质性要求条款，投标文件应当对招标文件的实质性要求和条件作出满足性或更有利于采购人的响应，否则，投标无效。</w:t>
      </w:r>
    </w:p>
    <w:p>
      <w:pPr>
        <w:rPr>
          <w:rFonts w:ascii="宋体" w:eastAsia="宋体" w:hAnsi="宋体" w:cstheme="minorBidi"/>
          <w:b/>
          <w:bCs/>
          <w:kern w:val="2"/>
          <w:sz w:val="28"/>
          <w:szCs w:val="36"/>
          <w:lang w:eastAsia="zh-CN"/>
        </w:rPr>
      </w:pPr>
      <w:bookmarkStart w:id="92" w:name="_Toc20730"/>
      <w:bookmarkStart w:id="93" w:name="_Toc22835"/>
      <w:bookmarkStart w:id="94" w:name="_Toc21427"/>
      <w:bookmarkStart w:id="95" w:name="_Toc8960"/>
    </w:p>
    <w:p>
      <w:pPr>
        <w:keepNext/>
        <w:keepLines/>
        <w:widowControl w:val="0"/>
        <w:spacing w:before="200" w:after="200"/>
        <w:jc w:val="center"/>
        <w:outlineLvl w:val="2"/>
        <w:rPr>
          <w:rFonts w:ascii="宋体" w:eastAsia="宋体" w:hAnsi="宋体" w:cstheme="minorBidi"/>
          <w:b/>
          <w:bCs/>
          <w:kern w:val="2"/>
          <w:sz w:val="32"/>
          <w:szCs w:val="32"/>
          <w:lang w:eastAsia="zh-CN"/>
        </w:rPr>
      </w:pPr>
      <w:bookmarkStart w:id="96" w:name="_Toc4188"/>
      <w:bookmarkStart w:id="97" w:name="_Toc11538"/>
      <w:bookmarkStart w:id="98" w:name="_Toc256000015"/>
      <w:r>
        <w:rPr>
          <w:rFonts w:ascii="宋体" w:eastAsia="宋体" w:hAnsi="宋体" w:cstheme="minorBidi" w:hint="eastAsia"/>
          <w:b/>
          <w:bCs/>
          <w:kern w:val="2"/>
          <w:sz w:val="32"/>
          <w:szCs w:val="32"/>
          <w:lang w:eastAsia="zh-CN"/>
        </w:rPr>
        <w:t>二、技术要求</w:t>
      </w:r>
      <w:bookmarkEnd w:id="98"/>
      <w:bookmarkEnd w:id="92"/>
      <w:bookmarkEnd w:id="93"/>
      <w:bookmarkEnd w:id="94"/>
      <w:bookmarkEnd w:id="95"/>
      <w:bookmarkEnd w:id="96"/>
      <w:bookmarkEnd w:id="97"/>
    </w:p>
    <w:p>
      <w:pPr>
        <w:rPr>
          <w:b/>
          <w:bCs/>
          <w:lang w:eastAsia="zh-CN"/>
        </w:rPr>
      </w:pPr>
      <w:r>
        <w:rPr>
          <w:b/>
          <w:bCs/>
          <w:lang w:eastAsia="zh-CN"/>
        </w:rPr>
        <w:t>说明：带“★”指标项为实质性条款，如出现负偏离，将被视为未实质性满足招标文件要求作响应无效处理。</w:t>
      </w:r>
    </w:p>
    <w:p>
      <w:pPr>
        <w:spacing w:line="360" w:lineRule="auto"/>
        <w:rPr>
          <w:b/>
          <w:sz w:val="21"/>
          <w:szCs w:val="21"/>
          <w:lang w:eastAsia="zh-CN"/>
        </w:rPr>
      </w:pPr>
    </w:p>
    <w:p>
      <w:pPr>
        <w:numPr>
          <w:ilvl w:val="0"/>
          <w:numId w:val="9"/>
        </w:numPr>
        <w:spacing w:line="360" w:lineRule="auto"/>
        <w:rPr>
          <w:rFonts w:ascii="宋体" w:eastAsia="宋体" w:hAnsi="宋体" w:cs="宋体" w:hint="eastAsia"/>
          <w:b/>
          <w:sz w:val="21"/>
          <w:szCs w:val="21"/>
        </w:rPr>
      </w:pPr>
      <w:r>
        <w:rPr>
          <w:rFonts w:ascii="宋体" w:eastAsia="宋体" w:hAnsi="宋体" w:cs="宋体" w:hint="eastAsia"/>
          <w:b/>
          <w:sz w:val="21"/>
          <w:szCs w:val="21"/>
        </w:rPr>
        <w:t>项目基本信息</w:t>
      </w:r>
    </w:p>
    <w:tbl>
      <w:tblPr>
        <w:tblStyle w:val="TableNormal"/>
        <w:tblpPr w:leftFromText="180" w:rightFromText="180" w:vertAnchor="text" w:horzAnchor="margin" w:tblpY="173"/>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4"/>
        <w:gridCol w:w="2170"/>
        <w:gridCol w:w="3319"/>
        <w:gridCol w:w="1303"/>
        <w:gridCol w:w="1303"/>
      </w:tblGrid>
      <w:tr>
        <w:tblPrEx>
          <w:tblW w:w="4998"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54"/>
        </w:trPr>
        <w:tc>
          <w:tcPr>
            <w:tcW w:w="249" w:type="pct"/>
            <w:vAlign w:val="center"/>
          </w:tcPr>
          <w:p>
            <w:pPr>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序号</w:t>
            </w:r>
          </w:p>
        </w:tc>
        <w:tc>
          <w:tcPr>
            <w:tcW w:w="1273" w:type="pct"/>
            <w:vAlign w:val="center"/>
          </w:tcPr>
          <w:p>
            <w:pPr>
              <w:jc w:val="center"/>
              <w:rPr>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采购计划编号</w:t>
            </w:r>
          </w:p>
        </w:tc>
        <w:tc>
          <w:tcPr>
            <w:tcW w:w="1947" w:type="pct"/>
            <w:vAlign w:val="center"/>
          </w:tcPr>
          <w:p>
            <w:pPr>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采购项目名称</w:t>
            </w:r>
          </w:p>
        </w:tc>
        <w:tc>
          <w:tcPr>
            <w:tcW w:w="764" w:type="pct"/>
            <w:vAlign w:val="center"/>
          </w:tcPr>
          <w:p>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预算</w:t>
            </w:r>
            <w:r>
              <w:rPr>
                <w:rFonts w:hint="eastAsia"/>
                <w:b/>
                <w:bCs/>
                <w:color w:val="000000" w:themeColor="text1"/>
                <w:szCs w:val="21"/>
                <w:lang w:val="en-US" w:eastAsia="zh-CN"/>
                <w14:textFill>
                  <w14:solidFill>
                    <w14:schemeClr w14:val="tx1"/>
                  </w14:solidFill>
                </w14:textFill>
              </w:rPr>
              <w:t>金额</w:t>
            </w:r>
            <w:r>
              <w:rPr>
                <w:rFonts w:hint="eastAsia"/>
                <w:b/>
                <w:bCs/>
                <w:color w:val="000000" w:themeColor="text1"/>
                <w:szCs w:val="21"/>
                <w14:textFill>
                  <w14:solidFill>
                    <w14:schemeClr w14:val="tx1"/>
                  </w14:solidFill>
                </w14:textFill>
              </w:rPr>
              <w:t>（元）</w:t>
            </w:r>
          </w:p>
        </w:tc>
        <w:tc>
          <w:tcPr>
            <w:tcW w:w="764" w:type="pct"/>
            <w:vAlign w:val="center"/>
          </w:tcPr>
          <w:p>
            <w:pPr>
              <w:jc w:val="center"/>
              <w:rPr>
                <w:rFonts w:hint="eastAsia"/>
                <w:b/>
                <w:bCs/>
                <w:color w:val="000000" w:themeColor="text1"/>
                <w:szCs w:val="21"/>
                <w14:textFill>
                  <w14:solidFill>
                    <w14:schemeClr w14:val="tx1"/>
                  </w14:solidFill>
                </w14:textFill>
              </w:rPr>
            </w:pPr>
            <w:r>
              <w:rPr>
                <w:rFonts w:ascii="Times New Roman" w:eastAsia="宋体" w:hint="eastAsia"/>
                <w:b/>
                <w:bCs/>
                <w:color w:val="000000" w:themeColor="text1"/>
                <w:szCs w:val="21"/>
                <w:lang w:val="en-US" w:eastAsia="zh-CN"/>
                <w14:textFill>
                  <w14:solidFill>
                    <w14:schemeClr w14:val="tx1"/>
                  </w14:solidFill>
                </w14:textFill>
              </w:rPr>
              <w:t>最高限价（元）</w:t>
            </w:r>
          </w:p>
        </w:tc>
      </w:tr>
      <w:tr>
        <w:tblPrEx>
          <w:tblW w:w="4998" w:type="pct"/>
          <w:tblInd w:w="0" w:type="dxa"/>
          <w:tblLayout w:type="fixed"/>
          <w:tblCellMar>
            <w:top w:w="0" w:type="dxa"/>
            <w:left w:w="108" w:type="dxa"/>
            <w:bottom w:w="0" w:type="dxa"/>
            <w:right w:w="108" w:type="dxa"/>
          </w:tblCellMar>
        </w:tblPrEx>
        <w:trPr>
          <w:trHeight w:val="290"/>
        </w:trPr>
        <w:tc>
          <w:tcPr>
            <w:tcW w:w="249" w:type="pct"/>
            <w:vAlign w:val="center"/>
          </w:tcPr>
          <w:p>
            <w:pPr>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w:t>
            </w:r>
          </w:p>
        </w:tc>
        <w:tc>
          <w:tcPr>
            <w:tcW w:w="1273" w:type="pct"/>
            <w:vAlign w:val="center"/>
          </w:tcPr>
          <w:p>
            <w:pPr>
              <w:jc w:val="center"/>
              <w:rPr>
                <w:rFonts w:eastAsia="宋体" w:hint="eastAsia"/>
                <w:bCs/>
                <w:color w:val="000000" w:themeColor="text1"/>
                <w:szCs w:val="21"/>
                <w:lang w:eastAsia="zh-CN"/>
                <w14:textFill>
                  <w14:solidFill>
                    <w14:schemeClr w14:val="tx1"/>
                  </w14:solidFill>
                </w14:textFill>
              </w:rPr>
            </w:pPr>
            <w:r>
              <w:rPr>
                <w:rFonts w:hint="eastAsia"/>
                <w:bCs/>
                <w:color w:val="000000" w:themeColor="text1"/>
                <w:szCs w:val="21"/>
                <w:lang w:val="en-US" w:eastAsia="zh-CN"/>
                <w14:textFill>
                  <w14:solidFill>
                    <w14:schemeClr w14:val="tx1"/>
                  </w14:solidFill>
                </w14:textFill>
              </w:rPr>
              <w:t xml:space="preserve">PLAN-2026-440310000-112002-03023 </w:t>
            </w:r>
          </w:p>
        </w:tc>
        <w:tc>
          <w:tcPr>
            <w:tcW w:w="1947" w:type="pct"/>
            <w:vAlign w:val="center"/>
          </w:tcPr>
          <w:p>
            <w:pPr>
              <w:pStyle w:val="NormalWeb"/>
              <w:widowControl/>
              <w:rPr>
                <w:b/>
                <w:bCs/>
                <w:color w:val="000000" w:themeColor="text1"/>
                <w:szCs w:val="21"/>
                <w14:textFill>
                  <w14:solidFill>
                    <w14:schemeClr w14:val="tx1"/>
                  </w14:solidFill>
                </w14:textFill>
              </w:rPr>
            </w:pPr>
            <w:r>
              <w:rPr>
                <w:rFonts w:hint="eastAsia"/>
                <w:b w:val="0"/>
                <w:bCs w:val="0"/>
                <w:color w:val="000000" w:themeColor="text1"/>
                <w:szCs w:val="21"/>
                <w14:textFill>
                  <w14:solidFill>
                    <w14:schemeClr w14:val="tx1"/>
                  </w14:solidFill>
                </w14:textFill>
              </w:rPr>
              <w:t>南方医科大学深圳坪山医院</w:t>
            </w:r>
            <w:r>
              <w:rPr>
                <w:rFonts w:hint="eastAsia"/>
                <w:b w:val="0"/>
                <w:bCs w:val="0"/>
                <w:color w:val="000000" w:themeColor="text1"/>
                <w:szCs w:val="21"/>
                <w:lang w:eastAsia="zh-CN"/>
                <w14:textFill>
                  <w14:solidFill>
                    <w14:schemeClr w14:val="tx1"/>
                  </w14:solidFill>
                </w14:textFill>
              </w:rPr>
              <w:t>（深圳市坪山区人民医院）</w:t>
            </w:r>
            <w:r>
              <w:rPr>
                <w:rFonts w:hint="eastAsia"/>
                <w:b w:val="0"/>
                <w:bCs w:val="0"/>
                <w:color w:val="000000" w:themeColor="text1"/>
                <w:szCs w:val="21"/>
                <w14:textFill>
                  <w14:solidFill>
                    <w14:schemeClr w14:val="tx1"/>
                  </w14:solidFill>
                </w14:textFill>
              </w:rPr>
              <w:t>新院区空气检测及除甲醛</w:t>
            </w:r>
          </w:p>
        </w:tc>
        <w:tc>
          <w:tcPr>
            <w:tcW w:w="764" w:type="pct"/>
            <w:vAlign w:val="center"/>
          </w:tcPr>
          <w:p>
            <w:pPr>
              <w:jc w:val="center"/>
              <w:rPr>
                <w:rFonts w:hint="default"/>
                <w:bCs/>
                <w:color w:val="000000" w:themeColor="text1"/>
                <w:szCs w:val="21"/>
                <w:lang w:val="en-US"/>
                <w14:textFill>
                  <w14:solidFill>
                    <w14:schemeClr w14:val="tx1"/>
                  </w14:solidFill>
                </w14:textFill>
              </w:rPr>
            </w:pPr>
            <w:r>
              <w:rPr>
                <w:rFonts w:ascii="宋体" w:hAnsi="宋体" w:cs="宋体" w:hint="eastAsia"/>
                <w:bCs w:val="0"/>
                <w:color w:val="000000" w:themeColor="text1"/>
                <w:kern w:val="0"/>
                <w:sz w:val="21"/>
                <w:szCs w:val="21"/>
                <w:lang w:val="en-US" w:eastAsia="zh-CN"/>
                <w14:textFill>
                  <w14:solidFill>
                    <w14:schemeClr w14:val="tx1"/>
                  </w14:solidFill>
                </w14:textFill>
              </w:rPr>
              <w:t>150000.00</w:t>
            </w:r>
          </w:p>
        </w:tc>
        <w:tc>
          <w:tcPr>
            <w:tcW w:w="764" w:type="pct"/>
            <w:vAlign w:val="center"/>
          </w:tcPr>
          <w:p>
            <w:pPr>
              <w:jc w:val="center"/>
              <w:rPr>
                <w:bCs/>
                <w:color w:val="000000" w:themeColor="text1"/>
                <w:szCs w:val="21"/>
                <w14:textFill>
                  <w14:solidFill>
                    <w14:schemeClr w14:val="tx1"/>
                  </w14:solidFill>
                </w14:textFill>
              </w:rPr>
            </w:pPr>
            <w:r>
              <w:rPr>
                <w:rFonts w:ascii="宋体" w:hAnsi="宋体" w:cs="宋体" w:hint="eastAsia"/>
                <w:bCs w:val="0"/>
                <w:color w:val="000000" w:themeColor="text1"/>
                <w:kern w:val="0"/>
                <w:sz w:val="21"/>
                <w:szCs w:val="21"/>
                <w:lang w:val="en-US" w:eastAsia="zh-CN"/>
                <w14:textFill>
                  <w14:solidFill>
                    <w14:schemeClr w14:val="tx1"/>
                  </w14:solidFill>
                </w14:textFill>
              </w:rPr>
              <w:t>150000.00</w:t>
            </w:r>
          </w:p>
        </w:tc>
      </w:tr>
    </w:tbl>
    <w:p>
      <w:pPr>
        <w:rPr>
          <w:rFonts w:ascii="宋体" w:eastAsia="宋体" w:hAnsi="宋体" w:cs="宋体" w:hint="eastAsia"/>
          <w:sz w:val="21"/>
          <w:szCs w:val="21"/>
        </w:rPr>
      </w:pPr>
    </w:p>
    <w:p>
      <w:pPr>
        <w:numPr>
          <w:ilvl w:val="0"/>
          <w:numId w:val="9"/>
        </w:numPr>
        <w:spacing w:line="360" w:lineRule="auto"/>
        <w:rPr>
          <w:rFonts w:ascii="宋体" w:eastAsia="宋体" w:hAnsi="宋体" w:cs="宋体" w:hint="eastAsia"/>
          <w:b/>
          <w:sz w:val="21"/>
          <w:szCs w:val="21"/>
          <w:lang w:eastAsia="zh-CN"/>
        </w:rPr>
      </w:pPr>
      <w:r>
        <w:rPr>
          <w:rFonts w:ascii="宋体" w:eastAsia="宋体" w:hAnsi="宋体" w:cs="宋体" w:hint="eastAsia"/>
          <w:b/>
          <w:sz w:val="21"/>
          <w:szCs w:val="21"/>
          <w:lang w:eastAsia="zh-CN"/>
        </w:rPr>
        <w:t>项目概况：</w:t>
      </w:r>
    </w:p>
    <w:p>
      <w:pPr>
        <w:numPr>
          <w:ilvl w:val="1"/>
          <w:numId w:val="9"/>
        </w:numPr>
        <w:spacing w:line="360" w:lineRule="auto"/>
        <w:ind w:left="907" w:hanging="907" w:leftChars="0" w:firstLineChars="0"/>
        <w:rPr>
          <w:rFonts w:hint="eastAsia"/>
          <w:lang w:eastAsia="zh-CN"/>
        </w:rPr>
      </w:pPr>
      <w:r>
        <w:rPr>
          <w:rFonts w:ascii="宋体" w:hAnsi="宋体" w:cs="宋体" w:hint="eastAsia"/>
          <w:kern w:val="0"/>
          <w:szCs w:val="21"/>
        </w:rPr>
        <w:t>南方医科大学深圳坪山医院（深圳市坪山区人民医院）新院区室内空气质量检测服务项目。新院区位于坪山区碧岭街道沙湖社区，黄竹坑路以东，振碧路以南。规划总床位2000张，总用地面积111658.74平方米，总建筑面积464437.29平方米。新院区室内空气质量检测区域主要包括：新院区门诊楼、住院楼、医技楼、手术室区域（外围）、病房、走廊、楼梯间、卫生间、电梯厅、办公室、值班室、设备间、地下车库、公共区域等全区域开展室内空气质量检测。具体开展室内空气质量检测楼栋及面积见下文。</w:t>
      </w:r>
    </w:p>
    <w:p>
      <w:pPr>
        <w:pStyle w:val="NormalIndent"/>
        <w:rPr>
          <w:rFonts w:ascii="宋体" w:hAnsi="宋体" w:cs="宋体" w:hint="eastAsia"/>
          <w:kern w:val="0"/>
          <w:szCs w:val="21"/>
        </w:rPr>
      </w:pPr>
    </w:p>
    <w:p>
      <w:pPr>
        <w:numPr>
          <w:ilvl w:val="0"/>
          <w:numId w:val="9"/>
        </w:numPr>
        <w:spacing w:line="360" w:lineRule="auto"/>
        <w:rPr>
          <w:rFonts w:ascii="宋体" w:eastAsia="宋体" w:hAnsi="宋体" w:cs="宋体" w:hint="eastAsia"/>
          <w:b/>
          <w:sz w:val="21"/>
          <w:szCs w:val="21"/>
          <w:lang w:eastAsia="zh-CN"/>
        </w:rPr>
      </w:pPr>
      <w:r>
        <w:rPr>
          <w:rFonts w:ascii="宋体" w:eastAsia="宋体" w:hAnsi="宋体" w:cs="宋体" w:hint="eastAsia"/>
          <w:b/>
          <w:sz w:val="21"/>
          <w:szCs w:val="21"/>
          <w:lang w:eastAsia="zh-CN"/>
        </w:rPr>
        <w:t>技术要求</w:t>
      </w:r>
    </w:p>
    <w:p>
      <w:pPr>
        <w:numPr>
          <w:ilvl w:val="1"/>
          <w:numId w:val="9"/>
        </w:numPr>
        <w:spacing w:line="360" w:lineRule="auto"/>
        <w:ind w:left="907" w:hanging="907" w:leftChars="0" w:firstLineChars="0"/>
        <w:rPr>
          <w:rFonts w:ascii="宋体" w:eastAsia="宋体" w:hAnsi="宋体" w:cs="宋体" w:hint="eastAsia"/>
          <w:kern w:val="0"/>
          <w:szCs w:val="21"/>
          <w:lang w:eastAsia="zh-CN"/>
        </w:rPr>
      </w:pPr>
      <w:bookmarkStart w:id="99" w:name="_Toc10859"/>
      <w:bookmarkStart w:id="100" w:name="_Toc1575"/>
      <w:r>
        <w:rPr>
          <w:rFonts w:ascii="宋体" w:eastAsia="宋体" w:hAnsi="宋体" w:cs="宋体" w:hint="eastAsia"/>
          <w:kern w:val="0"/>
          <w:szCs w:val="21"/>
          <w:lang w:eastAsia="zh-CN"/>
        </w:rPr>
        <w:t>服务整体要求及检测数量</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nil"/>
          <w:insideV w:val="nil"/>
        </w:tblBorders>
        <w:shd w:val="clear" w:color="auto" w:fill="auto"/>
        <w:tblCellMar>
          <w:top w:w="0" w:type="dxa"/>
          <w:left w:w="108" w:type="dxa"/>
          <w:bottom w:w="0" w:type="dxa"/>
          <w:right w:w="108" w:type="dxa"/>
        </w:tblCellMar>
      </w:tblPr>
      <w:tblGrid>
        <w:gridCol w:w="783"/>
        <w:gridCol w:w="1427"/>
        <w:gridCol w:w="3346"/>
        <w:gridCol w:w="1190"/>
        <w:gridCol w:w="1776"/>
      </w:tblGrid>
      <w:tr>
        <w:tblPrEx>
          <w:tblW w:w="5000" w:type="pct"/>
          <w:tblInd w:w="0" w:type="dxa"/>
          <w:tblBorders>
            <w:top w:val="single" w:sz="4" w:space="0" w:color="auto"/>
            <w:left w:val="single" w:sz="4" w:space="0" w:color="auto"/>
            <w:bottom w:val="single" w:sz="4" w:space="0" w:color="auto"/>
            <w:right w:val="single" w:sz="4" w:space="0" w:color="auto"/>
            <w:insideH w:val="nil"/>
            <w:insideV w:val="nil"/>
          </w:tblBorders>
          <w:shd w:val="clear" w:color="auto" w:fill="auto"/>
          <w:tblCellMar>
            <w:top w:w="0" w:type="dxa"/>
            <w:left w:w="108" w:type="dxa"/>
            <w:bottom w:w="0" w:type="dxa"/>
            <w:right w:w="108" w:type="dxa"/>
          </w:tblCellMar>
        </w:tblPrEx>
        <w:trPr>
          <w:trHeight w:val="450"/>
        </w:trPr>
        <w:tc>
          <w:tcPr>
            <w:tcW w:w="5000" w:type="pct"/>
            <w:gridSpan w:val="5"/>
            <w:tcBorders>
              <w:bottom w:val="nil"/>
            </w:tcBorders>
            <w:shd w:val="clear" w:color="auto" w:fill="auto"/>
            <w:vAlign w:val="center"/>
          </w:tcPr>
          <w:p>
            <w:pPr>
              <w:keepNext w:val="0"/>
              <w:keepLines w:val="0"/>
              <w:widowControl/>
              <w:suppressLineNumbers w:val="0"/>
              <w:jc w:val="center"/>
              <w:textAlignment w:val="center"/>
              <w:rPr>
                <w:rFonts w:ascii="宋体" w:eastAsia="宋体" w:hAnsi="宋体" w:cs="宋体" w:hint="eastAsia"/>
                <w:b/>
                <w:bCs/>
                <w:i w:val="0"/>
                <w:iCs w:val="0"/>
                <w:color w:val="auto"/>
                <w:sz w:val="21"/>
                <w:szCs w:val="21"/>
                <w:u w:val="none"/>
              </w:rPr>
            </w:pPr>
            <w:r>
              <w:rPr>
                <w:rFonts w:ascii="宋体" w:eastAsia="宋体" w:hAnsi="宋体" w:cs="宋体" w:hint="eastAsia"/>
                <w:b/>
                <w:bCs/>
                <w:i w:val="0"/>
                <w:iCs w:val="0"/>
                <w:color w:val="auto"/>
                <w:kern w:val="0"/>
                <w:sz w:val="21"/>
                <w:szCs w:val="21"/>
                <w:u w:val="none"/>
                <w:lang w:val="en-US" w:eastAsia="zh-CN"/>
              </w:rPr>
              <w:t>新院区</w:t>
            </w:r>
            <w:r>
              <w:rPr>
                <w:rFonts w:ascii="宋体" w:hAnsi="宋体" w:cs="宋体" w:hint="eastAsia"/>
                <w:b/>
                <w:bCs/>
                <w:i w:val="0"/>
                <w:iCs w:val="0"/>
                <w:color w:val="auto"/>
                <w:kern w:val="0"/>
                <w:sz w:val="21"/>
                <w:szCs w:val="21"/>
                <w:u w:val="none"/>
                <w:lang w:val="en-US" w:eastAsia="zh-CN"/>
              </w:rPr>
              <w:t>检测服务</w:t>
            </w:r>
            <w:r>
              <w:rPr>
                <w:rFonts w:ascii="宋体" w:eastAsia="宋体" w:hAnsi="宋体" w:cs="宋体" w:hint="eastAsia"/>
                <w:b/>
                <w:bCs/>
                <w:i w:val="0"/>
                <w:iCs w:val="0"/>
                <w:color w:val="auto"/>
                <w:kern w:val="0"/>
                <w:sz w:val="21"/>
                <w:szCs w:val="21"/>
                <w:u w:val="none"/>
                <w:lang w:val="en-US" w:eastAsia="zh-CN"/>
              </w:rPr>
              <w:t>面积</w:t>
            </w:r>
          </w:p>
        </w:tc>
      </w:tr>
      <w:tr>
        <w:tblPrEx>
          <w:tblW w:w="5000" w:type="pct"/>
          <w:tblInd w:w="0" w:type="dxa"/>
          <w:shd w:val="clear" w:color="auto" w:fill="auto"/>
          <w:tblCellMar>
            <w:top w:w="0" w:type="dxa"/>
            <w:left w:w="108" w:type="dxa"/>
            <w:bottom w:w="0" w:type="dxa"/>
            <w:right w:w="108" w:type="dxa"/>
          </w:tblCellMar>
        </w:tblPrEx>
        <w:trPr>
          <w:trHeight w:val="57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b/>
                <w:bCs/>
                <w:i w:val="0"/>
                <w:iCs w:val="0"/>
                <w:color w:val="auto"/>
                <w:sz w:val="21"/>
                <w:szCs w:val="21"/>
                <w:u w:val="none"/>
              </w:rPr>
            </w:pPr>
            <w:r>
              <w:rPr>
                <w:rFonts w:ascii="宋体" w:eastAsia="宋体" w:hAnsi="宋体" w:cs="宋体" w:hint="eastAsia"/>
                <w:b/>
                <w:bCs/>
                <w:i w:val="0"/>
                <w:iCs w:val="0"/>
                <w:color w:val="auto"/>
                <w:kern w:val="0"/>
                <w:sz w:val="21"/>
                <w:szCs w:val="21"/>
                <w:u w:val="none"/>
                <w:lang w:val="en-US" w:eastAsia="zh-CN"/>
              </w:rPr>
              <w:t>序号</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b/>
                <w:bCs/>
                <w:i w:val="0"/>
                <w:iCs w:val="0"/>
                <w:color w:val="auto"/>
                <w:sz w:val="21"/>
                <w:szCs w:val="21"/>
                <w:u w:val="none"/>
              </w:rPr>
            </w:pPr>
            <w:r>
              <w:rPr>
                <w:rFonts w:ascii="宋体" w:eastAsia="宋体" w:hAnsi="宋体" w:cs="宋体" w:hint="eastAsia"/>
                <w:b/>
                <w:bCs/>
                <w:i w:val="0"/>
                <w:iCs w:val="0"/>
                <w:color w:val="auto"/>
                <w:kern w:val="0"/>
                <w:sz w:val="21"/>
                <w:szCs w:val="21"/>
                <w:u w:val="none"/>
                <w:lang w:val="en-US" w:eastAsia="zh-CN"/>
              </w:rPr>
              <w:t>服务区域名称</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b/>
                <w:bCs/>
                <w:i w:val="0"/>
                <w:iCs w:val="0"/>
                <w:color w:val="auto"/>
                <w:sz w:val="21"/>
                <w:szCs w:val="21"/>
                <w:u w:val="none"/>
              </w:rPr>
            </w:pPr>
            <w:r>
              <w:rPr>
                <w:rFonts w:ascii="宋体" w:eastAsia="宋体" w:hAnsi="宋体" w:cs="宋体" w:hint="eastAsia"/>
                <w:b/>
                <w:bCs/>
                <w:i w:val="0"/>
                <w:iCs w:val="0"/>
                <w:color w:val="auto"/>
                <w:kern w:val="0"/>
                <w:sz w:val="21"/>
                <w:szCs w:val="21"/>
                <w:u w:val="none"/>
                <w:lang w:val="en-US" w:eastAsia="zh-CN"/>
              </w:rPr>
              <w:t>服务要求</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b/>
                <w:bCs/>
                <w:i w:val="0"/>
                <w:iCs w:val="0"/>
                <w:color w:val="auto"/>
                <w:sz w:val="21"/>
                <w:szCs w:val="21"/>
                <w:u w:val="none"/>
                <w:lang w:val="en-US"/>
              </w:rPr>
            </w:pPr>
            <w:r>
              <w:rPr>
                <w:rFonts w:ascii="宋体" w:hAnsi="宋体" w:cs="宋体" w:hint="eastAsia"/>
                <w:b/>
                <w:bCs/>
                <w:i w:val="0"/>
                <w:iCs w:val="0"/>
                <w:color w:val="auto"/>
                <w:kern w:val="0"/>
                <w:sz w:val="21"/>
                <w:szCs w:val="21"/>
                <w:u w:val="none"/>
                <w:lang w:val="en-US" w:eastAsia="zh-CN"/>
              </w:rPr>
              <w:t>单位</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b/>
                <w:bCs/>
                <w:i w:val="0"/>
                <w:iCs w:val="0"/>
                <w:color w:val="auto"/>
                <w:sz w:val="21"/>
                <w:szCs w:val="21"/>
                <w:u w:val="none"/>
                <w:lang w:val="en-US"/>
              </w:rPr>
            </w:pPr>
            <w:r>
              <w:rPr>
                <w:rFonts w:ascii="宋体" w:hAnsi="宋体" w:cs="宋体" w:hint="eastAsia"/>
                <w:b/>
                <w:bCs/>
                <w:i w:val="0"/>
                <w:iCs w:val="0"/>
                <w:color w:val="auto"/>
                <w:kern w:val="0"/>
                <w:sz w:val="21"/>
                <w:szCs w:val="21"/>
                <w:u w:val="none"/>
                <w:lang w:val="en-US" w:eastAsia="zh-CN"/>
              </w:rPr>
              <w:t>检测数量</w:t>
            </w:r>
          </w:p>
        </w:tc>
      </w:tr>
      <w:tr>
        <w:tblPrEx>
          <w:tblW w:w="5000" w:type="pct"/>
          <w:tblInd w:w="0" w:type="dxa"/>
          <w:shd w:val="clear" w:color="auto" w:fill="auto"/>
          <w:tblCellMar>
            <w:top w:w="0" w:type="dxa"/>
            <w:left w:w="108" w:type="dxa"/>
            <w:bottom w:w="0" w:type="dxa"/>
            <w:right w:w="108" w:type="dxa"/>
          </w:tblCellMar>
        </w:tblPrEx>
        <w:trPr>
          <w:trHeight w:val="39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2</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住院部北塔</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40</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3</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住院部中塔</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70</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4</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住院部南塔</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70</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5</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门诊楼医技楼</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150</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6</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感染楼</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60</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10</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报告厅</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9</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11</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美食广场、厨房餐厅区域1-2楼</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15</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12</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行政楼办公区域3-5楼</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30</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13</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宿舍楼7-12楼</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36</w:t>
            </w:r>
          </w:p>
        </w:tc>
      </w:tr>
      <w:tr>
        <w:tblPrEx>
          <w:tblW w:w="5000" w:type="pct"/>
          <w:tblInd w:w="0" w:type="dxa"/>
          <w:shd w:val="clear" w:color="auto" w:fill="auto"/>
          <w:tblCellMar>
            <w:top w:w="0" w:type="dxa"/>
            <w:left w:w="108" w:type="dxa"/>
            <w:bottom w:w="0" w:type="dxa"/>
            <w:right w:w="108" w:type="dxa"/>
          </w:tblCellMar>
        </w:tblPrEx>
        <w:trPr>
          <w:trHeight w:val="1460"/>
        </w:trPr>
        <w:tc>
          <w:tcPr>
            <w:tcW w:w="460" w:type="pct"/>
            <w:tcBorders>
              <w:top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14</w:t>
            </w:r>
          </w:p>
        </w:tc>
        <w:tc>
          <w:tcPr>
            <w:tcW w:w="837"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eastAsia="宋体" w:hAnsi="宋体" w:cs="宋体" w:hint="eastAsia"/>
                <w:i w:val="0"/>
                <w:iCs w:val="0"/>
                <w:color w:val="auto"/>
                <w:kern w:val="0"/>
                <w:sz w:val="21"/>
                <w:szCs w:val="21"/>
                <w:u w:val="none"/>
                <w:lang w:val="en-US" w:eastAsia="zh-CN"/>
              </w:rPr>
              <w:t>科研教学楼1-11楼</w:t>
            </w:r>
          </w:p>
        </w:tc>
        <w:tc>
          <w:tcPr>
            <w:tcW w:w="1962"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按照GB/T18883-2022的要求，检测项目：甲醛、苯、甲苯、二甲苯TVOC、氨</w:t>
            </w:r>
          </w:p>
        </w:tc>
        <w:tc>
          <w:tcPr>
            <w:tcW w:w="698" w:type="pc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eastAsia"/>
                <w:i w:val="0"/>
                <w:iCs w:val="0"/>
                <w:color w:val="auto"/>
                <w:kern w:val="0"/>
                <w:sz w:val="21"/>
                <w:szCs w:val="21"/>
                <w:u w:val="none"/>
              </w:rPr>
            </w:pPr>
            <w:r>
              <w:rPr>
                <w:rFonts w:ascii="宋体" w:hAnsi="宋体" w:cs="宋体" w:hint="eastAsia"/>
                <w:i w:val="0"/>
                <w:iCs w:val="0"/>
                <w:color w:val="auto"/>
                <w:kern w:val="0"/>
                <w:sz w:val="21"/>
                <w:szCs w:val="21"/>
                <w:u w:val="none"/>
                <w:lang w:val="en-US" w:eastAsia="zh-CN"/>
              </w:rPr>
              <w:t>点</w:t>
            </w:r>
          </w:p>
        </w:tc>
        <w:tc>
          <w:tcPr>
            <w:tcW w:w="1041" w:type="pct"/>
            <w:tcBorders>
              <w:top w:val="single" w:sz="4" w:space="0" w:color="000000"/>
              <w:left w:val="single" w:sz="4" w:space="0" w:color="000000"/>
              <w:bottom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i w:val="0"/>
                <w:iCs w:val="0"/>
                <w:color w:val="auto"/>
                <w:kern w:val="0"/>
                <w:sz w:val="21"/>
                <w:szCs w:val="21"/>
                <w:u w:val="none"/>
                <w:lang w:val="en-US"/>
              </w:rPr>
            </w:pPr>
            <w:r>
              <w:rPr>
                <w:rFonts w:ascii="宋体" w:hAnsi="宋体" w:cs="宋体" w:hint="eastAsia"/>
                <w:i w:val="0"/>
                <w:iCs w:val="0"/>
                <w:color w:val="auto"/>
                <w:kern w:val="0"/>
                <w:sz w:val="21"/>
                <w:szCs w:val="21"/>
                <w:u w:val="none"/>
                <w:lang w:val="en-US" w:eastAsia="zh-CN"/>
              </w:rPr>
              <w:t>120</w:t>
            </w:r>
          </w:p>
        </w:tc>
      </w:tr>
      <w:tr>
        <w:tblPrEx>
          <w:tblW w:w="5000" w:type="pct"/>
          <w:tblInd w:w="0" w:type="dxa"/>
          <w:shd w:val="clear" w:color="auto" w:fill="auto"/>
          <w:tblCellMar>
            <w:top w:w="0" w:type="dxa"/>
            <w:left w:w="108" w:type="dxa"/>
            <w:bottom w:w="0" w:type="dxa"/>
            <w:right w:w="108" w:type="dxa"/>
          </w:tblCellMar>
        </w:tblPrEx>
        <w:trPr>
          <w:trHeight w:val="710"/>
        </w:trPr>
        <w:tc>
          <w:tcPr>
            <w:tcW w:w="3260" w:type="pct"/>
            <w:gridSpan w:val="3"/>
            <w:tcBorders>
              <w:top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b/>
                <w:bCs/>
                <w:i w:val="0"/>
                <w:iCs w:val="0"/>
                <w:color w:val="auto"/>
                <w:kern w:val="0"/>
                <w:sz w:val="21"/>
                <w:szCs w:val="21"/>
                <w:u w:val="none"/>
                <w:lang w:val="en-US" w:eastAsia="zh-CN"/>
              </w:rPr>
            </w:pPr>
            <w:r>
              <w:rPr>
                <w:rFonts w:ascii="宋体" w:hAnsi="宋体" w:cs="宋体" w:hint="eastAsia"/>
                <w:b/>
                <w:bCs/>
                <w:i w:val="0"/>
                <w:iCs w:val="0"/>
                <w:color w:val="auto"/>
                <w:kern w:val="0"/>
                <w:sz w:val="21"/>
                <w:szCs w:val="21"/>
                <w:u w:val="none"/>
                <w:lang w:val="en-US" w:eastAsia="zh-CN"/>
              </w:rPr>
              <w:t>合计（数量）</w:t>
            </w:r>
          </w:p>
        </w:tc>
        <w:tc>
          <w:tcPr>
            <w:tcW w:w="698" w:type="pct"/>
            <w:tcBorders>
              <w:top w:val="single" w:sz="4" w:space="0" w:color="000000"/>
              <w:left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b/>
                <w:bCs/>
                <w:i w:val="0"/>
                <w:iCs w:val="0"/>
                <w:color w:val="auto"/>
                <w:kern w:val="0"/>
                <w:sz w:val="21"/>
                <w:szCs w:val="21"/>
                <w:u w:val="none"/>
                <w:lang w:val="en-US" w:eastAsia="zh-CN"/>
              </w:rPr>
            </w:pPr>
            <w:r>
              <w:rPr>
                <w:rFonts w:ascii="宋体" w:hAnsi="宋体" w:cs="宋体" w:hint="eastAsia"/>
                <w:b/>
                <w:bCs/>
                <w:i w:val="0"/>
                <w:iCs w:val="0"/>
                <w:color w:val="auto"/>
                <w:kern w:val="0"/>
                <w:sz w:val="21"/>
                <w:szCs w:val="21"/>
                <w:u w:val="none"/>
                <w:lang w:val="en-US" w:eastAsia="zh-CN"/>
              </w:rPr>
              <w:t>点</w:t>
            </w:r>
          </w:p>
        </w:tc>
        <w:tc>
          <w:tcPr>
            <w:tcW w:w="1041" w:type="pct"/>
            <w:tcBorders>
              <w:top w:val="single" w:sz="4" w:space="0" w:color="000000"/>
              <w:left w:val="single" w:sz="4" w:space="0" w:color="000000"/>
            </w:tcBorders>
            <w:shd w:val="clear" w:color="auto" w:fill="auto"/>
            <w:vAlign w:val="center"/>
          </w:tcPr>
          <w:p>
            <w:pPr>
              <w:keepNext w:val="0"/>
              <w:keepLines w:val="0"/>
              <w:widowControl/>
              <w:suppressLineNumbers w:val="0"/>
              <w:jc w:val="center"/>
              <w:textAlignment w:val="center"/>
              <w:rPr>
                <w:rFonts w:ascii="宋体" w:eastAsia="宋体" w:hAnsi="宋体" w:cs="宋体" w:hint="default"/>
                <w:b/>
                <w:bCs/>
                <w:i w:val="0"/>
                <w:iCs w:val="0"/>
                <w:color w:val="auto"/>
                <w:kern w:val="0"/>
                <w:sz w:val="21"/>
                <w:szCs w:val="21"/>
                <w:u w:val="none"/>
                <w:lang w:val="en-US" w:eastAsia="zh-CN"/>
              </w:rPr>
            </w:pPr>
            <w:r>
              <w:rPr>
                <w:rFonts w:ascii="宋体" w:hAnsi="宋体" w:cs="宋体" w:hint="eastAsia"/>
                <w:b/>
                <w:bCs/>
                <w:i w:val="0"/>
                <w:iCs w:val="0"/>
                <w:color w:val="auto"/>
                <w:kern w:val="0"/>
                <w:sz w:val="21"/>
                <w:szCs w:val="21"/>
                <w:u w:val="none"/>
                <w:lang w:val="en-US" w:eastAsia="zh-CN"/>
              </w:rPr>
              <w:t>600</w:t>
            </w:r>
          </w:p>
        </w:tc>
      </w:tr>
    </w:tbl>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本项目预计检测点位600个点位，点位由采购人根据医院实际功能房间现场确定，投标人需完成全部点位的现场采样、实验室分析及报告编制。</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 xml:space="preserve">检测工作周期：接到采购人进场通知后，10日历天内完成全部现场采样工作；采样完成后15日历天内出具CNAS检测报告；可根据医院交付进度分批次开展采样、分批次出具报告。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检测参数：甲醛、苯、甲苯、二甲苯、总挥发性有机化合物（TVOC）、氨共6项，执行GB/T18883</w:t>
      </w:r>
      <w:r>
        <w:rPr>
          <w:rFonts w:ascii="宋体" w:eastAsia="宋体" w:hAnsi="宋体" w:cs="宋体" w:hint="eastAsia"/>
          <w:color w:val="000000"/>
          <w:kern w:val="2"/>
          <w:sz w:val="21"/>
          <w:szCs w:val="24"/>
          <w:lang w:val="en-US" w:eastAsia="zh-CN" w:bidi="ar-SA"/>
        </w:rPr>
        <w:noBreakHyphen/>
      </w:r>
      <w:r>
        <w:rPr>
          <w:rFonts w:ascii="宋体" w:eastAsia="宋体" w:hAnsi="宋体" w:cs="宋体" w:hint="eastAsia"/>
          <w:color w:val="000000"/>
          <w:kern w:val="2"/>
          <w:sz w:val="21"/>
          <w:szCs w:val="24"/>
          <w:lang w:val="en-US" w:eastAsia="zh-CN" w:bidi="ar-SA"/>
        </w:rPr>
        <w:t xml:space="preserve">2022《室内空气质量标准》；采样前关闭门窗、空气净化设备、新风系统不少于12小时，采样过程保持关闭状态，现场同步记录温度、相对湿度等环境参数。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检测作业需要遵守医院院感管理规定，作业人员做好个人防护，作业时间配合采购人作息，不干扰医院现场施工、筹备工作；需提前统筹12小时密闭时间，与院方协调房间封闭安排。</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投入本项目项目负责人、检测技术人员必须具备检验检测相关能力，熟悉医疗机构按照GB/T18883</w:t>
      </w:r>
      <w:r>
        <w:rPr>
          <w:rFonts w:ascii="宋体" w:eastAsia="宋体" w:hAnsi="宋体" w:cs="宋体" w:hint="eastAsia"/>
          <w:color w:val="000000"/>
          <w:kern w:val="2"/>
          <w:sz w:val="21"/>
          <w:szCs w:val="24"/>
          <w:lang w:val="en-US" w:eastAsia="zh-CN" w:bidi="ar-SA"/>
        </w:rPr>
        <w:noBreakHyphen/>
      </w:r>
      <w:r>
        <w:rPr>
          <w:rFonts w:ascii="宋体" w:eastAsia="宋体" w:hAnsi="宋体" w:cs="宋体" w:hint="eastAsia"/>
          <w:color w:val="000000"/>
          <w:kern w:val="2"/>
          <w:sz w:val="21"/>
          <w:szCs w:val="24"/>
          <w:lang w:val="en-US" w:eastAsia="zh-CN" w:bidi="ar-SA"/>
        </w:rPr>
        <w:t>2022标准开展室内检测工作。</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现场采样仪器设备必须在计量检定/校准有效期内。为满足600个点位、10天采样周期进度需求，须配置不少于20套合格室内空气采样成套设备。</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 xml:space="preserve">中标人须按照采购人时间节点完成采样及报告编制；检测结果出现超标情况，须第一时间向采购人提交异常情况说明。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 xml:space="preserve">中标人须对检测全过程安全负责，采样作业发生人身、财产安全事故，全部责任由中标人承担，采购人不承担任何责任。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所有原始记录、采样记录、实验室记录、报告副本全部归档，采购人有权调阅。</w:t>
      </w:r>
    </w:p>
    <w:p>
      <w:pPr>
        <w:numPr>
          <w:ilvl w:val="1"/>
          <w:numId w:val="9"/>
        </w:numPr>
        <w:spacing w:line="360" w:lineRule="auto"/>
        <w:ind w:left="907" w:hanging="907" w:leftChars="0" w:firstLineChars="0"/>
        <w:rPr>
          <w:rFonts w:ascii="宋体" w:eastAsia="宋体" w:hAnsi="宋体" w:cs="宋体" w:hint="eastAsia"/>
          <w:b/>
          <w:bCs/>
          <w:kern w:val="0"/>
          <w:szCs w:val="21"/>
          <w:lang w:eastAsia="zh-CN"/>
        </w:rPr>
      </w:pPr>
      <w:r>
        <w:rPr>
          <w:rFonts w:ascii="宋体" w:eastAsia="宋体" w:hAnsi="宋体" w:cs="宋体" w:hint="eastAsia"/>
          <w:b/>
          <w:bCs/>
          <w:kern w:val="0"/>
          <w:szCs w:val="21"/>
          <w:lang w:eastAsia="zh-CN"/>
        </w:rPr>
        <w:t>检测服务标准及质量要求</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采样布点严格执行GB/T18883</w:t>
      </w:r>
      <w:r>
        <w:rPr>
          <w:rFonts w:ascii="宋体" w:eastAsia="宋体" w:hAnsi="宋体" w:cs="宋体" w:hint="eastAsia"/>
          <w:color w:val="000000"/>
          <w:kern w:val="2"/>
          <w:sz w:val="21"/>
          <w:szCs w:val="24"/>
          <w:lang w:val="en-US" w:eastAsia="zh-CN" w:bidi="ar-SA"/>
        </w:rPr>
        <w:noBreakHyphen/>
      </w:r>
      <w:r>
        <w:rPr>
          <w:rFonts w:ascii="宋体" w:eastAsia="宋体" w:hAnsi="宋体" w:cs="宋体" w:hint="eastAsia"/>
          <w:color w:val="000000"/>
          <w:kern w:val="2"/>
          <w:sz w:val="21"/>
          <w:szCs w:val="24"/>
          <w:lang w:val="en-US" w:eastAsia="zh-CN" w:bidi="ar-SA"/>
        </w:rPr>
        <w:t xml:space="preserve">2022《室内空气质量标准》相关规定，布点高度、距离墙体、避开通风口等符合国标要求，结合医院房间功能、面积合理布点。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 xml:space="preserve">采样前关闭门窗、空气净化设备及新风系统不少于12小时；采样期间保持关闭状态；现场同步记录温度、相对湿度等环境条件参数。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样品采集、保存、运输流程符合GB/T18883</w:t>
      </w:r>
      <w:r>
        <w:rPr>
          <w:rFonts w:ascii="宋体" w:eastAsia="宋体" w:hAnsi="宋体" w:cs="宋体" w:hint="eastAsia"/>
          <w:color w:val="000000"/>
          <w:kern w:val="2"/>
          <w:sz w:val="21"/>
          <w:szCs w:val="24"/>
          <w:lang w:val="en-US" w:eastAsia="zh-CN" w:bidi="ar-SA"/>
        </w:rPr>
        <w:noBreakHyphen/>
      </w:r>
      <w:r>
        <w:rPr>
          <w:rFonts w:ascii="宋体" w:eastAsia="宋体" w:hAnsi="宋体" w:cs="宋体" w:hint="eastAsia"/>
          <w:color w:val="000000"/>
          <w:kern w:val="2"/>
          <w:sz w:val="21"/>
          <w:szCs w:val="24"/>
          <w:lang w:val="en-US" w:eastAsia="zh-CN" w:bidi="ar-SA"/>
        </w:rPr>
        <w:t xml:space="preserve">2022规范要求，防止样品污染、失效。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 xml:space="preserve">实验室分析执行国标规定方法，原始记录完整、可追溯。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出具CNAS认可标识正式检测报告，报告信息完整，包含点位编号、房间用途、检测参数（甲醛、苯、甲苯、二甲苯、TVOC、氨）、GB/T18883</w:t>
      </w:r>
      <w:r>
        <w:rPr>
          <w:rFonts w:ascii="宋体" w:eastAsia="宋体" w:hAnsi="宋体" w:cs="宋体" w:hint="eastAsia"/>
          <w:color w:val="000000"/>
          <w:kern w:val="2"/>
          <w:sz w:val="21"/>
          <w:szCs w:val="24"/>
          <w:lang w:val="en-US" w:eastAsia="zh-CN" w:bidi="ar-SA"/>
        </w:rPr>
        <w:noBreakHyphen/>
      </w:r>
      <w:r>
        <w:rPr>
          <w:rFonts w:ascii="宋体" w:eastAsia="宋体" w:hAnsi="宋体" w:cs="宋体" w:hint="eastAsia"/>
          <w:color w:val="000000"/>
          <w:kern w:val="2"/>
          <w:sz w:val="21"/>
          <w:szCs w:val="24"/>
          <w:lang w:val="en-US" w:eastAsia="zh-CN" w:bidi="ar-SA"/>
        </w:rPr>
        <w:t xml:space="preserve">2022标准限值、检测结果、评价结论、CNAS认可标识；报告对应的6项检测参数应当在CNAS认可能力附表内。 </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分批次检测的，可分批次出具阶段性报告，全部完成后提供完整汇总报告。</w:t>
      </w:r>
    </w:p>
    <w:p>
      <w:pPr>
        <w:numPr>
          <w:ilvl w:val="2"/>
          <w:numId w:val="9"/>
        </w:numPr>
        <w:spacing w:line="360" w:lineRule="auto"/>
        <w:ind w:left="907" w:hanging="907" w:leftChars="0" w:firstLineChars="0"/>
        <w:rPr>
          <w:rFonts w:ascii="宋体" w:eastAsia="宋体" w:hAnsi="宋体" w:cs="宋体" w:hint="eastAsia"/>
          <w:color w:val="000000"/>
          <w:kern w:val="2"/>
          <w:sz w:val="21"/>
          <w:szCs w:val="24"/>
          <w:lang w:val="en-US" w:eastAsia="zh-CN" w:bidi="ar-SA"/>
        </w:rPr>
      </w:pPr>
      <w:r>
        <w:rPr>
          <w:rFonts w:ascii="宋体" w:eastAsia="宋体" w:hAnsi="宋体" w:cs="宋体" w:hint="eastAsia"/>
          <w:color w:val="000000"/>
          <w:kern w:val="2"/>
          <w:sz w:val="21"/>
          <w:szCs w:val="24"/>
          <w:lang w:val="en-US" w:eastAsia="zh-CN" w:bidi="ar-SA"/>
        </w:rPr>
        <w:t>全部检测数据、报告属于采购人所有，中标人做好数据保密，不得擅自对外泄露。</w:t>
      </w:r>
    </w:p>
    <w:p>
      <w:pPr>
        <w:numPr>
          <w:ilvl w:val="1"/>
          <w:numId w:val="9"/>
        </w:numPr>
        <w:spacing w:line="360" w:lineRule="auto"/>
        <w:ind w:left="907" w:hanging="907" w:leftChars="0" w:firstLineChars="0"/>
        <w:rPr>
          <w:rFonts w:ascii="宋体" w:eastAsia="宋体" w:hAnsi="宋体" w:cs="宋体" w:hint="eastAsia"/>
          <w:b/>
          <w:bCs/>
          <w:kern w:val="0"/>
          <w:szCs w:val="21"/>
          <w:lang w:val="en-US" w:eastAsia="zh-CN"/>
        </w:rPr>
      </w:pPr>
      <w:r>
        <w:rPr>
          <w:rFonts w:ascii="宋体" w:eastAsia="宋体" w:hAnsi="宋体" w:cs="宋体" w:hint="eastAsia"/>
          <w:b/>
          <w:bCs/>
          <w:kern w:val="0"/>
          <w:szCs w:val="21"/>
          <w:lang w:val="en-US" w:eastAsia="zh-CN"/>
        </w:rPr>
        <w:t>检测服务工作及人员要求</w:t>
      </w:r>
    </w:p>
    <w:p>
      <w:pPr>
        <w:numPr>
          <w:ilvl w:val="2"/>
          <w:numId w:val="9"/>
        </w:numPr>
        <w:spacing w:line="360" w:lineRule="auto"/>
        <w:ind w:left="907" w:hanging="907" w:leftChars="0" w:firstLineChars="0"/>
        <w:rPr>
          <w:rFonts w:hint="eastAsia"/>
          <w:lang w:val="en-US" w:eastAsia="zh-CN"/>
        </w:rPr>
      </w:pPr>
      <w:r>
        <w:rPr>
          <w:rFonts w:ascii="宋体" w:eastAsia="宋体" w:hAnsi="宋体" w:cs="宋体" w:hint="eastAsia"/>
          <w:color w:val="auto"/>
          <w:sz w:val="21"/>
          <w:szCs w:val="21"/>
          <w:highlight w:val="none"/>
          <w:lang w:val="en-US" w:eastAsia="zh-CN"/>
        </w:rPr>
        <w:t>中标人可根据本项目实际需要合理安排人员，但必须满足本项目基本要求（具体详见下表）</w:t>
      </w:r>
    </w:p>
    <w:tbl>
      <w:tblPr>
        <w:tblStyle w:val="TableNormal"/>
        <w:tblW w:w="86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
        <w:gridCol w:w="8207"/>
      </w:tblGrid>
      <w:tr>
        <w:tblPrEx>
          <w:tblW w:w="86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26" w:type="dxa"/>
          </w:tcPr>
          <w:p>
            <w:pPr>
              <w:adjustRightInd w:val="0"/>
              <w:snapToGrid w:val="0"/>
              <w:spacing w:line="360" w:lineRule="auto"/>
              <w:jc w:val="center"/>
              <w:rPr>
                <w:rFonts w:ascii="宋体" w:hAnsi="宋体" w:cs="宋体" w:hint="eastAsia"/>
                <w:color w:val="auto"/>
                <w:kern w:val="0"/>
                <w:sz w:val="21"/>
                <w:szCs w:val="21"/>
                <w:highlight w:val="none"/>
              </w:rPr>
            </w:pPr>
            <w:r>
              <w:rPr>
                <w:rFonts w:ascii="宋体" w:hAnsi="宋体" w:cs="宋体" w:hint="eastAsia"/>
                <w:color w:val="auto"/>
                <w:kern w:val="0"/>
                <w:sz w:val="21"/>
                <w:szCs w:val="21"/>
                <w:highlight w:val="none"/>
              </w:rPr>
              <w:t>1</w:t>
            </w:r>
          </w:p>
        </w:tc>
        <w:tc>
          <w:tcPr>
            <w:tcW w:w="8207" w:type="dxa"/>
          </w:tcPr>
          <w:tbl>
            <w:tblPr>
              <w:tblStyle w:val="TableGrid"/>
              <w:tblW w:w="53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43"/>
              <w:gridCol w:w="3745"/>
              <w:gridCol w:w="3619"/>
            </w:tblGrid>
            <w:tr>
              <w:tblPrEx>
                <w:tblW w:w="53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blHeader/>
                <w:jc w:val="center"/>
              </w:trPr>
              <w:tc>
                <w:tcPr>
                  <w:tcW w:w="513" w:type="pct"/>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序号</w:t>
                  </w:r>
                </w:p>
              </w:tc>
              <w:tc>
                <w:tcPr>
                  <w:tcW w:w="2281" w:type="pct"/>
                  <w:vAlign w:val="center"/>
                </w:tcPr>
                <w:p>
                  <w:pPr>
                    <w:pageBreakBefore w:val="0"/>
                    <w:widowControl w:val="0"/>
                    <w:kinsoku/>
                    <w:overflowPunct/>
                    <w:autoSpaceDE/>
                    <w:autoSpaceDN/>
                    <w:bidi w:val="0"/>
                    <w:snapToGrid/>
                    <w:spacing w:line="240" w:lineRule="auto"/>
                    <w:jc w:val="center"/>
                    <w:rPr>
                      <w:rFonts w:ascii="宋体" w:eastAsia="宋体" w:hAnsi="宋体" w:cs="宋体" w:hint="eastAsia"/>
                      <w:b/>
                      <w:bCs/>
                      <w:color w:val="auto"/>
                      <w:sz w:val="21"/>
                      <w:szCs w:val="21"/>
                      <w:highlight w:val="yellow"/>
                      <w:shd w:val="clear" w:color="FFFFFF" w:fill="D9D9D9"/>
                      <w:lang w:val="en-US" w:eastAsia="zh-CN"/>
                    </w:rPr>
                  </w:pPr>
                  <w:r>
                    <w:rPr>
                      <w:rFonts w:ascii="宋体" w:eastAsia="宋体" w:hAnsi="宋体" w:cs="宋体" w:hint="eastAsia"/>
                      <w:b/>
                      <w:bCs/>
                      <w:color w:val="auto"/>
                      <w:sz w:val="21"/>
                      <w:szCs w:val="21"/>
                      <w:highlight w:val="yellow"/>
                      <w:shd w:val="clear" w:color="FFFFFF" w:fill="D9D9D9"/>
                      <w:lang w:val="en-US" w:eastAsia="zh-CN"/>
                    </w:rPr>
                    <w:t>★岗位</w:t>
                  </w:r>
                </w:p>
              </w:tc>
              <w:tc>
                <w:tcPr>
                  <w:tcW w:w="2204" w:type="pct"/>
                  <w:vAlign w:val="center"/>
                </w:tcPr>
                <w:p>
                  <w:pPr>
                    <w:pageBreakBefore w:val="0"/>
                    <w:widowControl w:val="0"/>
                    <w:kinsoku/>
                    <w:overflowPunct/>
                    <w:autoSpaceDE/>
                    <w:autoSpaceDN/>
                    <w:bidi w:val="0"/>
                    <w:snapToGrid/>
                    <w:spacing w:line="240" w:lineRule="auto"/>
                    <w:jc w:val="center"/>
                    <w:rPr>
                      <w:rFonts w:ascii="宋体" w:eastAsia="宋体" w:hAnsi="宋体" w:cs="宋体" w:hint="eastAsia"/>
                      <w:b/>
                      <w:bCs/>
                      <w:color w:val="auto"/>
                      <w:sz w:val="21"/>
                      <w:szCs w:val="21"/>
                      <w:highlight w:val="yellow"/>
                      <w:shd w:val="clear" w:color="FFFFFF" w:fill="D9D9D9"/>
                      <w:lang w:val="en-US" w:eastAsia="zh-CN"/>
                    </w:rPr>
                  </w:pPr>
                  <w:r>
                    <w:rPr>
                      <w:rFonts w:ascii="宋体" w:eastAsia="宋体" w:hAnsi="宋体" w:cs="宋体" w:hint="eastAsia"/>
                      <w:b/>
                      <w:bCs/>
                      <w:color w:val="auto"/>
                      <w:sz w:val="21"/>
                      <w:szCs w:val="21"/>
                      <w:highlight w:val="yellow"/>
                      <w:shd w:val="clear" w:color="FFFFFF" w:fill="D9D9D9"/>
                      <w:lang w:val="en-US" w:eastAsia="zh-CN"/>
                    </w:rPr>
                    <w:t>★人数</w:t>
                  </w:r>
                </w:p>
              </w:tc>
            </w:tr>
            <w:tr>
              <w:tblPrEx>
                <w:tblW w:w="5390" w:type="pct"/>
                <w:jc w:val="center"/>
                <w:tblLayout w:type="fixed"/>
                <w:tblCellMar>
                  <w:top w:w="0" w:type="dxa"/>
                  <w:left w:w="108" w:type="dxa"/>
                  <w:bottom w:w="0" w:type="dxa"/>
                  <w:right w:w="108" w:type="dxa"/>
                </w:tblCellMar>
              </w:tblPrEx>
              <w:trPr>
                <w:jc w:val="center"/>
              </w:trPr>
              <w:tc>
                <w:tcPr>
                  <w:tcW w:w="513" w:type="pct"/>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w:t>
                  </w:r>
                </w:p>
              </w:tc>
              <w:tc>
                <w:tcPr>
                  <w:tcW w:w="2281" w:type="pct"/>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lang w:val="en-US" w:eastAsia="zh-CN"/>
                    </w:rPr>
                    <w:t xml:space="preserve"> </w:t>
                  </w:r>
                  <w:r>
                    <w:rPr>
                      <w:rFonts w:ascii="宋体" w:hAnsi="宋体" w:cs="宋体" w:hint="eastAsia"/>
                      <w:b w:val="0"/>
                      <w:bCs w:val="0"/>
                      <w:color w:val="auto"/>
                      <w:sz w:val="21"/>
                      <w:szCs w:val="21"/>
                      <w:highlight w:val="none"/>
                      <w:lang w:val="en-US" w:eastAsia="zh-CN"/>
                    </w:rPr>
                    <w:t>项目负责人</w:t>
                  </w:r>
                </w:p>
              </w:tc>
              <w:tc>
                <w:tcPr>
                  <w:tcW w:w="2204" w:type="pct"/>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1人</w:t>
                  </w:r>
                </w:p>
              </w:tc>
            </w:tr>
            <w:tr>
              <w:tblPrEx>
                <w:tblW w:w="5390" w:type="pct"/>
                <w:jc w:val="center"/>
                <w:tblLayout w:type="fixed"/>
                <w:tblCellMar>
                  <w:top w:w="0" w:type="dxa"/>
                  <w:left w:w="108" w:type="dxa"/>
                  <w:bottom w:w="0" w:type="dxa"/>
                  <w:right w:w="108" w:type="dxa"/>
                </w:tblCellMar>
              </w:tblPrEx>
              <w:trPr>
                <w:jc w:val="center"/>
              </w:trPr>
              <w:tc>
                <w:tcPr>
                  <w:tcW w:w="513" w:type="pct"/>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2</w:t>
                  </w:r>
                </w:p>
              </w:tc>
              <w:tc>
                <w:tcPr>
                  <w:tcW w:w="2281" w:type="pct"/>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lang w:val="en-US" w:eastAsia="zh-CN"/>
                    </w:rPr>
                    <w:t xml:space="preserve">团队成员 </w:t>
                  </w:r>
                </w:p>
              </w:tc>
              <w:tc>
                <w:tcPr>
                  <w:tcW w:w="2204" w:type="pct"/>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lang w:val="en-US" w:eastAsia="zh-CN"/>
                    </w:rPr>
                    <w:t>不少于10</w:t>
                  </w:r>
                  <w:r>
                    <w:rPr>
                      <w:rFonts w:ascii="宋体" w:eastAsia="宋体" w:hAnsi="宋体" w:cs="宋体" w:hint="eastAsia"/>
                      <w:color w:val="auto"/>
                      <w:sz w:val="21"/>
                      <w:szCs w:val="21"/>
                      <w:highlight w:val="none"/>
                      <w:lang w:val="en-US" w:eastAsia="zh-CN"/>
                    </w:rPr>
                    <w:t xml:space="preserve"> 人</w:t>
                  </w:r>
                </w:p>
              </w:tc>
            </w:tr>
          </w:tbl>
          <w:p>
            <w:pPr>
              <w:rPr>
                <w:rFonts w:ascii="宋体" w:eastAsia="宋体" w:hAnsi="宋体" w:cs="宋体" w:hint="eastAsia"/>
                <w:color w:val="auto"/>
                <w:kern w:val="0"/>
                <w:sz w:val="21"/>
                <w:szCs w:val="21"/>
                <w:highlight w:val="none"/>
              </w:rPr>
            </w:pPr>
          </w:p>
        </w:tc>
      </w:tr>
      <w:tr>
        <w:tblPrEx>
          <w:tblW w:w="8633" w:type="dxa"/>
          <w:tblInd w:w="0" w:type="dxa"/>
          <w:tblLayout w:type="fixed"/>
          <w:tblCellMar>
            <w:top w:w="0" w:type="dxa"/>
            <w:left w:w="108" w:type="dxa"/>
            <w:bottom w:w="0" w:type="dxa"/>
            <w:right w:w="108" w:type="dxa"/>
          </w:tblCellMar>
        </w:tblPrEx>
        <w:tc>
          <w:tcPr>
            <w:tcW w:w="426" w:type="dxa"/>
          </w:tcPr>
          <w:p>
            <w:pPr>
              <w:adjustRightInd w:val="0"/>
              <w:snapToGrid w:val="0"/>
              <w:spacing w:line="360" w:lineRule="auto"/>
              <w:jc w:val="center"/>
              <w:rPr>
                <w:rFonts w:ascii="宋体" w:eastAsia="宋体" w:hAnsi="宋体" w:cs="宋体" w:hint="eastAsia"/>
                <w:color w:val="auto"/>
                <w:kern w:val="0"/>
                <w:sz w:val="21"/>
                <w:szCs w:val="21"/>
                <w:highlight w:val="none"/>
                <w:lang w:val="en-US" w:eastAsia="zh-CN"/>
              </w:rPr>
            </w:pPr>
            <w:r>
              <w:rPr>
                <w:rFonts w:ascii="宋体" w:hAnsi="宋体" w:cs="宋体" w:hint="eastAsia"/>
                <w:color w:val="auto"/>
                <w:kern w:val="0"/>
                <w:sz w:val="21"/>
                <w:szCs w:val="21"/>
                <w:highlight w:val="none"/>
                <w:lang w:val="en-US" w:eastAsia="zh-CN"/>
              </w:rPr>
              <w:t>2</w:t>
            </w:r>
          </w:p>
        </w:tc>
        <w:tc>
          <w:tcPr>
            <w:tcW w:w="8207" w:type="dxa"/>
          </w:tcPr>
          <w:p>
            <w:pPr>
              <w:pStyle w:val="BodyText"/>
              <w:spacing w:line="240" w:lineRule="auto"/>
              <w:ind w:firstLine="0" w:firstLineChars="0"/>
              <w:rPr>
                <w:rFonts w:ascii="宋体" w:hAnsi="宋体" w:cs="宋体" w:hint="eastAsia"/>
                <w:color w:val="auto"/>
                <w:sz w:val="21"/>
                <w:szCs w:val="21"/>
                <w:highlight w:val="none"/>
                <w:lang w:val="en-US" w:eastAsia="zh-CN"/>
              </w:rPr>
            </w:pPr>
            <w:r>
              <w:rPr>
                <w:rFonts w:ascii="宋体" w:hAnsi="宋体" w:cs="宋体" w:hint="eastAsia"/>
                <w:b w:val="0"/>
                <w:bCs w:val="0"/>
                <w:color w:val="auto"/>
                <w:sz w:val="21"/>
                <w:szCs w:val="21"/>
                <w:highlight w:val="none"/>
                <w:lang w:val="en-US" w:eastAsia="zh-CN"/>
              </w:rPr>
              <w:t>项目负责人和团队成员必须为投标单位自有员工，要求投标文件中提供投标截止日前为其缴纳的近3个月中任意一个月（由于社保部门原因最近一个月的社保证明无法提供的可往前顺延一个月）的社保证明作为自有员工的证明依据，如供应商为新成立企业且成立时间不足三个月可提供加盖公章的情况说明或者证明材料亦视为符合；</w:t>
            </w:r>
          </w:p>
        </w:tc>
      </w:tr>
    </w:tbl>
    <w:p>
      <w:pPr>
        <w:numPr>
          <w:ilvl w:val="2"/>
          <w:numId w:val="9"/>
        </w:numPr>
        <w:spacing w:line="360" w:lineRule="auto"/>
        <w:ind w:left="907" w:hanging="907" w:leftChars="0" w:firstLineChars="0"/>
        <w:rPr>
          <w:rFonts w:hint="eastAsia"/>
          <w:lang w:val="en-US" w:eastAsia="zh-CN"/>
        </w:rPr>
      </w:pPr>
      <w:r>
        <w:rPr>
          <w:rFonts w:hint="eastAsia"/>
          <w:lang w:val="en-US" w:eastAsia="zh-CN"/>
        </w:rPr>
        <w:t>医院项目现场工况复杂，存在交叉施工，同时本项目执行GB/T18883</w:t>
      </w:r>
      <w:r>
        <w:rPr>
          <w:rFonts w:hint="eastAsia"/>
          <w:lang w:val="en-US" w:eastAsia="zh-CN"/>
        </w:rPr>
        <w:noBreakHyphen/>
      </w:r>
      <w:r>
        <w:rPr>
          <w:rFonts w:hint="eastAsia"/>
          <w:lang w:val="en-US" w:eastAsia="zh-CN"/>
        </w:rPr>
        <w:t>2022标准需要房间12小时密闭，中标供应商需具备现场风险识别、协调沟通、应急处置能力，针对采样过程、房间密闭协调等突发情况制定处置预案。</w:t>
      </w:r>
    </w:p>
    <w:p>
      <w:pPr>
        <w:numPr>
          <w:ilvl w:val="1"/>
          <w:numId w:val="9"/>
        </w:numPr>
        <w:spacing w:line="360" w:lineRule="auto"/>
        <w:ind w:left="907" w:hanging="907" w:leftChars="0" w:firstLineChars="0"/>
        <w:rPr>
          <w:rFonts w:ascii="宋体" w:eastAsia="宋体" w:hAnsi="宋体" w:cs="宋体" w:hint="eastAsia"/>
          <w:b/>
          <w:bCs/>
          <w:kern w:val="0"/>
          <w:szCs w:val="21"/>
          <w:lang w:val="en-US" w:eastAsia="zh-CN"/>
        </w:rPr>
      </w:pPr>
      <w:r>
        <w:rPr>
          <w:rFonts w:ascii="宋体" w:eastAsia="宋体" w:hAnsi="宋体" w:cs="宋体" w:hint="eastAsia"/>
          <w:b/>
          <w:bCs/>
          <w:kern w:val="0"/>
          <w:szCs w:val="21"/>
          <w:lang w:val="en-US" w:eastAsia="zh-CN"/>
        </w:rPr>
        <w:t>检测设备仪器要求</w:t>
      </w:r>
    </w:p>
    <w:p>
      <w:pPr>
        <w:numPr>
          <w:ilvl w:val="2"/>
          <w:numId w:val="9"/>
        </w:numPr>
        <w:spacing w:line="360" w:lineRule="auto"/>
        <w:ind w:left="907" w:hanging="907" w:leftChars="0" w:firstLineChars="0"/>
        <w:rPr>
          <w:rFonts w:ascii="Times New Roman" w:eastAsia="宋体" w:hAnsi="Times New Roman" w:cs="Times New Roman" w:hint="eastAsia"/>
          <w:lang w:val="en-US" w:eastAsia="zh-CN"/>
        </w:rPr>
      </w:pPr>
      <w:r>
        <w:rPr>
          <w:rFonts w:ascii="Times New Roman" w:eastAsia="宋体" w:hAnsi="Times New Roman" w:cs="Times New Roman" w:hint="eastAsia"/>
          <w:lang w:val="en-US" w:eastAsia="zh-CN"/>
        </w:rPr>
        <w:t>中标人须配置满足本项目批量采样需要的仪器设备：大气采样器、温湿度大气压综合测试仪等；所有仪器均需在计量检定/校准有效期内。</w:t>
      </w:r>
    </w:p>
    <w:p>
      <w:pPr>
        <w:numPr>
          <w:ilvl w:val="2"/>
          <w:numId w:val="9"/>
        </w:numPr>
        <w:spacing w:line="360" w:lineRule="auto"/>
        <w:ind w:left="907" w:hanging="907" w:leftChars="0" w:firstLineChars="0"/>
        <w:rPr>
          <w:rFonts w:ascii="Times New Roman" w:eastAsia="宋体" w:hAnsi="Times New Roman" w:cs="Times New Roman" w:hint="eastAsia"/>
          <w:lang w:val="en-US" w:eastAsia="zh-CN"/>
        </w:rPr>
      </w:pPr>
      <w:r>
        <w:rPr>
          <w:rFonts w:ascii="Times New Roman" w:eastAsia="宋体" w:hAnsi="Times New Roman" w:cs="Times New Roman" w:hint="eastAsia"/>
          <w:lang w:val="en-US" w:eastAsia="zh-CN"/>
        </w:rPr>
        <w:t>检测仪器最低配置要求：须配置不少于20套合格室内空气采样成套设备，满足约600个点位10日历天采样进度需求。</w:t>
      </w:r>
    </w:p>
    <w:p>
      <w:pPr>
        <w:numPr>
          <w:ilvl w:val="2"/>
          <w:numId w:val="9"/>
        </w:numPr>
        <w:spacing w:line="360" w:lineRule="auto"/>
        <w:ind w:left="907" w:hanging="907" w:leftChars="0" w:firstLineChars="0"/>
        <w:rPr>
          <w:rFonts w:ascii="宋体" w:hAnsi="宋体" w:cs="宋体"/>
          <w:b/>
          <w:bCs/>
          <w:color w:val="auto"/>
          <w:szCs w:val="21"/>
        </w:rPr>
      </w:pPr>
      <w:r>
        <w:rPr>
          <w:rFonts w:ascii="宋体" w:hAnsi="宋体" w:cs="宋体" w:hint="eastAsia"/>
          <w:color w:val="auto"/>
          <w:spacing w:val="-3"/>
          <w:szCs w:val="21"/>
        </w:rPr>
        <w:t>★</w:t>
      </w:r>
      <w:r>
        <w:rPr>
          <w:rFonts w:ascii="宋体" w:hAnsi="宋体" w:cs="宋体" w:hint="eastAsia"/>
          <w:b/>
          <w:bCs/>
          <w:color w:val="auto"/>
          <w:szCs w:val="21"/>
          <w:lang w:val="en-US" w:eastAsia="zh-CN"/>
        </w:rPr>
        <w:t>检测</w:t>
      </w:r>
      <w:r>
        <w:rPr>
          <w:rFonts w:ascii="宋体" w:hAnsi="宋体" w:cs="宋体"/>
          <w:b/>
          <w:bCs/>
          <w:color w:val="auto"/>
          <w:szCs w:val="21"/>
        </w:rPr>
        <w:t>设备最低配置表</w:t>
      </w:r>
    </w:p>
    <w:tbl>
      <w:tblPr>
        <w:tblStyle w:val="TableNormal"/>
        <w:tblW w:w="829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3"/>
        <w:gridCol w:w="2095"/>
        <w:gridCol w:w="871"/>
        <w:gridCol w:w="913"/>
        <w:gridCol w:w="3643"/>
      </w:tblGrid>
      <w:tr>
        <w:tblPrEx>
          <w:tblW w:w="829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9"/>
        </w:trPr>
        <w:tc>
          <w:tcPr>
            <w:tcW w:w="773" w:type="dxa"/>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序号</w:t>
            </w:r>
          </w:p>
        </w:tc>
        <w:tc>
          <w:tcPr>
            <w:tcW w:w="2095" w:type="dxa"/>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名称</w:t>
            </w:r>
          </w:p>
        </w:tc>
        <w:tc>
          <w:tcPr>
            <w:tcW w:w="871" w:type="dxa"/>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单位</w:t>
            </w:r>
          </w:p>
        </w:tc>
        <w:tc>
          <w:tcPr>
            <w:tcW w:w="913" w:type="dxa"/>
            <w:shd w:val="clear" w:color="auto" w:fill="auto"/>
          </w:tcPr>
          <w:p>
            <w:pPr>
              <w:widowControl/>
              <w:jc w:val="center"/>
              <w:textAlignment w:val="top"/>
              <w:rPr>
                <w:rFonts w:ascii="宋体" w:hAnsi="宋体" w:cs="宋体"/>
                <w:b/>
                <w:bCs/>
                <w:color w:val="auto"/>
                <w:szCs w:val="21"/>
                <w:highlight w:val="none"/>
              </w:rPr>
            </w:pPr>
            <w:r>
              <w:rPr>
                <w:rFonts w:ascii="宋体" w:hAnsi="宋体" w:cs="宋体" w:hint="eastAsia"/>
                <w:b/>
                <w:bCs/>
                <w:color w:val="auto"/>
                <w:kern w:val="0"/>
                <w:szCs w:val="21"/>
                <w:highlight w:val="none"/>
              </w:rPr>
              <w:t>数量</w:t>
            </w:r>
          </w:p>
        </w:tc>
        <w:tc>
          <w:tcPr>
            <w:tcW w:w="3643" w:type="dxa"/>
            <w:shd w:val="clear" w:color="auto" w:fill="auto"/>
          </w:tcPr>
          <w:p>
            <w:pPr>
              <w:widowControl/>
              <w:jc w:val="center"/>
              <w:textAlignment w:val="top"/>
              <w:rPr>
                <w:rFonts w:ascii="宋体" w:hAnsi="宋体" w:cs="宋体"/>
                <w:b/>
                <w:bCs/>
                <w:color w:val="auto"/>
                <w:kern w:val="0"/>
                <w:szCs w:val="21"/>
                <w:highlight w:val="none"/>
              </w:rPr>
            </w:pPr>
            <w:r>
              <w:rPr>
                <w:rFonts w:ascii="宋体" w:hAnsi="宋体" w:cs="宋体" w:hint="eastAsia"/>
                <w:b/>
                <w:bCs/>
                <w:color w:val="auto"/>
                <w:kern w:val="0"/>
                <w:szCs w:val="21"/>
                <w:highlight w:val="none"/>
              </w:rPr>
              <w:t>备注</w:t>
            </w:r>
          </w:p>
        </w:tc>
      </w:tr>
      <w:tr>
        <w:tblPrEx>
          <w:tblW w:w="8295" w:type="dxa"/>
          <w:tblInd w:w="114" w:type="dxa"/>
          <w:tblLayout w:type="fixed"/>
          <w:tblCellMar>
            <w:top w:w="0" w:type="dxa"/>
            <w:left w:w="108" w:type="dxa"/>
            <w:bottom w:w="0" w:type="dxa"/>
            <w:right w:w="108" w:type="dxa"/>
          </w:tblCellMar>
        </w:tblPrEx>
        <w:trPr>
          <w:trHeight w:val="849"/>
        </w:trPr>
        <w:tc>
          <w:tcPr>
            <w:tcW w:w="773" w:type="dxa"/>
            <w:vAlign w:val="center"/>
          </w:tcPr>
          <w:p>
            <w:pPr>
              <w:widowControl/>
              <w:jc w:val="center"/>
              <w:textAlignment w:val="center"/>
              <w:rPr>
                <w:rFonts w:ascii="宋体" w:hAnsi="宋体" w:cs="宋体"/>
                <w:color w:val="auto"/>
                <w:szCs w:val="21"/>
                <w:highlight w:val="none"/>
              </w:rPr>
            </w:pPr>
            <w:r>
              <w:rPr>
                <w:rFonts w:ascii="宋体" w:hAnsi="宋体" w:cs="宋体"/>
                <w:color w:val="auto"/>
                <w:kern w:val="0"/>
                <w:szCs w:val="21"/>
                <w:highlight w:val="none"/>
              </w:rPr>
              <w:t>1</w:t>
            </w:r>
          </w:p>
        </w:tc>
        <w:tc>
          <w:tcPr>
            <w:tcW w:w="2095" w:type="dxa"/>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hAnsi="宋体" w:cs="宋体" w:hint="eastAsia"/>
                <w:color w:val="auto"/>
                <w:kern w:val="0"/>
                <w:szCs w:val="21"/>
                <w:highlight w:val="none"/>
                <w:lang w:val="en-US" w:eastAsia="zh-CN"/>
              </w:rPr>
              <w:t>大气采样器</w:t>
            </w:r>
          </w:p>
        </w:tc>
        <w:tc>
          <w:tcPr>
            <w:tcW w:w="871" w:type="dxa"/>
            <w:vAlign w:val="center"/>
          </w:tcPr>
          <w:p>
            <w:pPr>
              <w:widowControl/>
              <w:jc w:val="center"/>
              <w:textAlignment w:val="center"/>
              <w:rPr>
                <w:rFonts w:ascii="宋体" w:hAnsi="宋体" w:cs="宋体"/>
                <w:color w:val="auto"/>
                <w:szCs w:val="21"/>
                <w:highlight w:val="none"/>
              </w:rPr>
            </w:pPr>
            <w:r>
              <w:rPr>
                <w:rFonts w:ascii="宋体" w:hAnsi="宋体" w:cs="宋体" w:hint="eastAsia"/>
                <w:color w:val="auto"/>
                <w:kern w:val="0"/>
                <w:szCs w:val="21"/>
                <w:highlight w:val="none"/>
              </w:rPr>
              <w:t>台</w:t>
            </w:r>
          </w:p>
        </w:tc>
        <w:tc>
          <w:tcPr>
            <w:tcW w:w="913" w:type="dxa"/>
            <w:vAlign w:val="center"/>
          </w:tcPr>
          <w:p>
            <w:pPr>
              <w:widowControl/>
              <w:jc w:val="center"/>
              <w:textAlignment w:val="top"/>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20</w:t>
            </w:r>
          </w:p>
        </w:tc>
        <w:tc>
          <w:tcPr>
            <w:tcW w:w="3643" w:type="dxa"/>
            <w:vMerge w:val="restart"/>
            <w:vAlign w:val="center"/>
          </w:tcPr>
          <w:p>
            <w:pPr>
              <w:widowControl/>
              <w:jc w:val="left"/>
              <w:textAlignment w:val="top"/>
              <w:rPr>
                <w:rFonts w:ascii="宋体" w:hAnsi="宋体" w:cs="宋体"/>
                <w:color w:val="auto"/>
                <w:kern w:val="0"/>
                <w:szCs w:val="21"/>
                <w:highlight w:val="none"/>
              </w:rPr>
            </w:pPr>
            <w:r>
              <w:rPr>
                <w:rFonts w:ascii="宋体" w:hAnsi="宋体" w:cs="宋体"/>
                <w:color w:val="auto"/>
                <w:kern w:val="0"/>
                <w:szCs w:val="21"/>
                <w:highlight w:val="none"/>
              </w:rPr>
              <w:t>1、上述设备配置数量为最低要求；</w:t>
            </w:r>
          </w:p>
          <w:p>
            <w:pPr>
              <w:widowControl/>
              <w:jc w:val="left"/>
              <w:textAlignment w:val="top"/>
              <w:rPr>
                <w:rFonts w:ascii="宋体" w:hAnsi="宋体" w:cs="宋体"/>
                <w:color w:val="auto"/>
                <w:kern w:val="0"/>
                <w:szCs w:val="21"/>
                <w:highlight w:val="none"/>
              </w:rPr>
            </w:pPr>
            <w:r>
              <w:rPr>
                <w:rFonts w:ascii="宋体" w:hAnsi="宋体" w:cs="宋体"/>
                <w:color w:val="auto"/>
                <w:kern w:val="0"/>
                <w:szCs w:val="21"/>
                <w:highlight w:val="none"/>
              </w:rPr>
              <w:t>2、供应商应根据实际工作需求及时增</w:t>
            </w:r>
            <w:r>
              <w:rPr>
                <w:rFonts w:ascii="宋体" w:hAnsi="宋体" w:cs="宋体" w:hint="eastAsia"/>
                <w:color w:val="auto"/>
                <w:kern w:val="0"/>
                <w:szCs w:val="21"/>
                <w:highlight w:val="none"/>
              </w:rPr>
              <w:t>加配足设备；</w:t>
            </w:r>
          </w:p>
          <w:p>
            <w:pPr>
              <w:widowControl/>
              <w:jc w:val="left"/>
              <w:textAlignment w:val="top"/>
              <w:rPr>
                <w:rFonts w:ascii="宋体" w:hAnsi="宋体" w:cs="宋体"/>
                <w:color w:val="auto"/>
                <w:kern w:val="0"/>
                <w:szCs w:val="21"/>
                <w:highlight w:val="none"/>
              </w:rPr>
            </w:pPr>
            <w:r>
              <w:rPr>
                <w:rFonts w:ascii="宋体" w:hAnsi="宋体" w:cs="宋体"/>
                <w:color w:val="auto"/>
                <w:kern w:val="0"/>
                <w:szCs w:val="21"/>
                <w:highlight w:val="none"/>
              </w:rPr>
              <w:t>3、所有设备使用过程中所涉及的维护保养费（维护、维修等）等由中标单位承担。</w:t>
            </w:r>
          </w:p>
          <w:p>
            <w:pPr>
              <w:pStyle w:val="NormalIndent"/>
              <w:ind w:firstLine="0"/>
              <w:rPr>
                <w:rFonts w:ascii="宋体" w:eastAsia="宋体" w:hAnsi="宋体" w:cs="宋体" w:hint="eastAsia"/>
                <w:color w:val="auto"/>
                <w:highlight w:val="none"/>
                <w:lang w:val="en-US" w:eastAsia="zh-CN"/>
              </w:rPr>
            </w:pPr>
          </w:p>
        </w:tc>
      </w:tr>
      <w:tr>
        <w:tblPrEx>
          <w:tblW w:w="8295" w:type="dxa"/>
          <w:tblInd w:w="114" w:type="dxa"/>
          <w:tblLayout w:type="fixed"/>
          <w:tblCellMar>
            <w:top w:w="0" w:type="dxa"/>
            <w:left w:w="108" w:type="dxa"/>
            <w:bottom w:w="0" w:type="dxa"/>
            <w:right w:w="108" w:type="dxa"/>
          </w:tblCellMar>
        </w:tblPrEx>
        <w:trPr>
          <w:trHeight w:val="369"/>
        </w:trPr>
        <w:tc>
          <w:tcPr>
            <w:tcW w:w="773" w:type="dxa"/>
            <w:vAlign w:val="center"/>
          </w:tcPr>
          <w:p>
            <w:pPr>
              <w:widowControl/>
              <w:jc w:val="center"/>
              <w:textAlignment w:val="center"/>
              <w:rPr>
                <w:rFonts w:ascii="宋体" w:hAnsi="宋体" w:cs="宋体"/>
                <w:color w:val="auto"/>
                <w:szCs w:val="21"/>
                <w:highlight w:val="none"/>
              </w:rPr>
            </w:pPr>
            <w:r>
              <w:rPr>
                <w:rFonts w:ascii="宋体" w:hAnsi="宋体" w:cs="宋体"/>
                <w:color w:val="auto"/>
                <w:kern w:val="0"/>
                <w:szCs w:val="21"/>
                <w:highlight w:val="none"/>
              </w:rPr>
              <w:t>2</w:t>
            </w:r>
          </w:p>
        </w:tc>
        <w:tc>
          <w:tcPr>
            <w:tcW w:w="2095" w:type="dxa"/>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hAnsi="宋体" w:cs="宋体" w:hint="eastAsia"/>
                <w:color w:val="auto"/>
                <w:kern w:val="0"/>
                <w:szCs w:val="21"/>
                <w:highlight w:val="none"/>
                <w:lang w:val="en-US" w:eastAsia="zh-CN"/>
              </w:rPr>
              <w:t>气相色谱质谱联用仪+热脱附</w:t>
            </w:r>
          </w:p>
        </w:tc>
        <w:tc>
          <w:tcPr>
            <w:tcW w:w="871" w:type="dxa"/>
            <w:vAlign w:val="center"/>
          </w:tcPr>
          <w:p>
            <w:pPr>
              <w:widowControl/>
              <w:jc w:val="center"/>
              <w:textAlignment w:val="center"/>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台套</w:t>
            </w:r>
          </w:p>
        </w:tc>
        <w:tc>
          <w:tcPr>
            <w:tcW w:w="913" w:type="dxa"/>
            <w:vAlign w:val="center"/>
          </w:tcPr>
          <w:p>
            <w:pPr>
              <w:widowControl/>
              <w:jc w:val="center"/>
              <w:textAlignment w:val="top"/>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2</w:t>
            </w:r>
          </w:p>
        </w:tc>
        <w:tc>
          <w:tcPr>
            <w:tcW w:w="3643" w:type="dxa"/>
            <w:vMerge/>
          </w:tcPr>
          <w:p>
            <w:pPr>
              <w:widowControl/>
              <w:jc w:val="center"/>
              <w:textAlignment w:val="top"/>
              <w:rPr>
                <w:rFonts w:ascii="宋体" w:hAnsi="宋体" w:cs="宋体"/>
                <w:color w:val="auto"/>
                <w:kern w:val="0"/>
                <w:szCs w:val="21"/>
                <w:highlight w:val="none"/>
              </w:rPr>
            </w:pPr>
          </w:p>
        </w:tc>
      </w:tr>
      <w:tr>
        <w:tblPrEx>
          <w:tblW w:w="8295" w:type="dxa"/>
          <w:tblInd w:w="114" w:type="dxa"/>
          <w:tblLayout w:type="fixed"/>
          <w:tblCellMar>
            <w:top w:w="0" w:type="dxa"/>
            <w:left w:w="108" w:type="dxa"/>
            <w:bottom w:w="0" w:type="dxa"/>
            <w:right w:w="108" w:type="dxa"/>
          </w:tblCellMar>
        </w:tblPrEx>
        <w:trPr>
          <w:trHeight w:val="369"/>
        </w:trPr>
        <w:tc>
          <w:tcPr>
            <w:tcW w:w="773" w:type="dxa"/>
            <w:vAlign w:val="center"/>
          </w:tcPr>
          <w:p>
            <w:pPr>
              <w:widowControl/>
              <w:jc w:val="center"/>
              <w:textAlignment w:val="center"/>
              <w:rPr>
                <w:rFonts w:ascii="宋体" w:eastAsia="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3</w:t>
            </w:r>
          </w:p>
        </w:tc>
        <w:tc>
          <w:tcPr>
            <w:tcW w:w="2095" w:type="dxa"/>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eastAsia="宋体" w:hAnsi="宋体" w:cs="宋体"/>
                <w:sz w:val="24"/>
                <w:szCs w:val="24"/>
              </w:rPr>
              <w:t>热脱附仪联用气相色谱仪</w:t>
            </w:r>
          </w:p>
        </w:tc>
        <w:tc>
          <w:tcPr>
            <w:tcW w:w="871" w:type="dxa"/>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台套</w:t>
            </w:r>
          </w:p>
        </w:tc>
        <w:tc>
          <w:tcPr>
            <w:tcW w:w="913" w:type="dxa"/>
            <w:vAlign w:val="center"/>
          </w:tcPr>
          <w:p>
            <w:pPr>
              <w:widowControl/>
              <w:jc w:val="center"/>
              <w:textAlignment w:val="top"/>
              <w:rPr>
                <w:rFonts w:ascii="宋体" w:hAnsi="宋体" w:cs="宋体" w:hint="default"/>
                <w:color w:val="auto"/>
                <w:kern w:val="0"/>
                <w:szCs w:val="21"/>
                <w:highlight w:val="none"/>
                <w:lang w:val="en-US" w:eastAsia="zh-CN"/>
              </w:rPr>
            </w:pPr>
            <w:r>
              <w:rPr>
                <w:rFonts w:ascii="宋体" w:hAnsi="宋体" w:cs="宋体" w:hint="eastAsia"/>
                <w:color w:val="auto"/>
                <w:kern w:val="0"/>
                <w:szCs w:val="21"/>
                <w:highlight w:val="none"/>
                <w:lang w:val="en-US" w:eastAsia="zh-CN"/>
              </w:rPr>
              <w:t>2</w:t>
            </w:r>
          </w:p>
        </w:tc>
        <w:tc>
          <w:tcPr>
            <w:tcW w:w="3643" w:type="dxa"/>
            <w:vMerge/>
          </w:tcPr>
          <w:p>
            <w:pPr>
              <w:widowControl/>
              <w:jc w:val="center"/>
              <w:textAlignment w:val="top"/>
              <w:rPr>
                <w:rFonts w:ascii="宋体" w:hAnsi="宋体" w:cs="宋体"/>
                <w:color w:val="auto"/>
                <w:kern w:val="0"/>
                <w:szCs w:val="21"/>
                <w:highlight w:val="none"/>
              </w:rPr>
            </w:pPr>
          </w:p>
        </w:tc>
      </w:tr>
      <w:tr>
        <w:tblPrEx>
          <w:tblW w:w="8295" w:type="dxa"/>
          <w:tblInd w:w="114" w:type="dxa"/>
          <w:tblLayout w:type="fixed"/>
          <w:tblCellMar>
            <w:top w:w="0" w:type="dxa"/>
            <w:left w:w="108" w:type="dxa"/>
            <w:bottom w:w="0" w:type="dxa"/>
            <w:right w:w="108" w:type="dxa"/>
          </w:tblCellMar>
        </w:tblPrEx>
        <w:trPr>
          <w:trHeight w:val="369"/>
        </w:trPr>
        <w:tc>
          <w:tcPr>
            <w:tcW w:w="773" w:type="dxa"/>
            <w:vAlign w:val="center"/>
          </w:tcPr>
          <w:p>
            <w:pPr>
              <w:widowControl/>
              <w:jc w:val="center"/>
              <w:textAlignment w:val="center"/>
              <w:rPr>
                <w:rFonts w:ascii="宋体" w:eastAsia="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4</w:t>
            </w:r>
          </w:p>
        </w:tc>
        <w:tc>
          <w:tcPr>
            <w:tcW w:w="2095" w:type="dxa"/>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分光光度计</w:t>
            </w:r>
          </w:p>
        </w:tc>
        <w:tc>
          <w:tcPr>
            <w:tcW w:w="871" w:type="dxa"/>
            <w:vAlign w:val="center"/>
          </w:tcPr>
          <w:p>
            <w:pPr>
              <w:widowControl/>
              <w:jc w:val="center"/>
              <w:textAlignment w:val="center"/>
              <w:rPr>
                <w:rFonts w:ascii="宋体" w:hAnsi="宋体" w:cs="宋体" w:hint="eastAsia"/>
                <w:color w:val="auto"/>
                <w:kern w:val="0"/>
                <w:szCs w:val="21"/>
                <w:highlight w:val="none"/>
                <w:lang w:val="en-US" w:eastAsia="zh-CN"/>
              </w:rPr>
            </w:pPr>
            <w:r>
              <w:rPr>
                <w:rFonts w:ascii="宋体" w:hAnsi="宋体" w:cs="宋体" w:hint="eastAsia"/>
                <w:color w:val="auto"/>
                <w:kern w:val="0"/>
                <w:szCs w:val="21"/>
                <w:highlight w:val="none"/>
                <w:lang w:val="en-US" w:eastAsia="zh-CN"/>
              </w:rPr>
              <w:t>台套</w:t>
            </w:r>
          </w:p>
        </w:tc>
        <w:tc>
          <w:tcPr>
            <w:tcW w:w="913" w:type="dxa"/>
            <w:vAlign w:val="center"/>
          </w:tcPr>
          <w:p>
            <w:pPr>
              <w:widowControl/>
              <w:jc w:val="center"/>
              <w:textAlignment w:val="top"/>
              <w:rPr>
                <w:rFonts w:ascii="宋体" w:hAnsi="宋体" w:cs="宋体" w:hint="default"/>
                <w:color w:val="auto"/>
                <w:kern w:val="0"/>
                <w:szCs w:val="21"/>
                <w:highlight w:val="none"/>
                <w:lang w:val="en-US" w:eastAsia="zh-CN"/>
              </w:rPr>
            </w:pPr>
            <w:r>
              <w:rPr>
                <w:rFonts w:ascii="宋体" w:hAnsi="宋体" w:cs="宋体" w:hint="eastAsia"/>
                <w:color w:val="auto"/>
                <w:kern w:val="0"/>
                <w:szCs w:val="21"/>
                <w:highlight w:val="none"/>
                <w:lang w:val="en-US" w:eastAsia="zh-CN"/>
              </w:rPr>
              <w:t>2</w:t>
            </w:r>
          </w:p>
        </w:tc>
        <w:tc>
          <w:tcPr>
            <w:tcW w:w="3643" w:type="dxa"/>
            <w:vMerge/>
          </w:tcPr>
          <w:p>
            <w:pPr>
              <w:widowControl/>
              <w:jc w:val="center"/>
              <w:textAlignment w:val="top"/>
              <w:rPr>
                <w:rFonts w:ascii="宋体" w:hAnsi="宋体" w:cs="宋体"/>
                <w:color w:val="auto"/>
                <w:kern w:val="0"/>
                <w:szCs w:val="21"/>
                <w:highlight w:val="none"/>
              </w:rPr>
            </w:pPr>
          </w:p>
        </w:tc>
      </w:tr>
    </w:tbl>
    <w:p>
      <w:pPr>
        <w:topLinePunct/>
        <w:adjustRightInd w:val="0"/>
        <w:ind w:firstLine="210" w:firstLineChars="100"/>
        <w:rPr>
          <w:rFonts w:ascii="宋体" w:hAnsi="宋体" w:cs="宋体"/>
          <w:b/>
          <w:bCs/>
          <w:color w:val="auto"/>
          <w:szCs w:val="21"/>
        </w:rPr>
      </w:pPr>
    </w:p>
    <w:p>
      <w:pPr>
        <w:pStyle w:val="NormalIndent"/>
        <w:rPr>
          <w:rFonts w:hint="eastAsia"/>
          <w:lang w:val="en-US" w:eastAsia="zh-CN"/>
        </w:rPr>
      </w:pPr>
    </w:p>
    <w:p>
      <w:pPr>
        <w:numPr>
          <w:ilvl w:val="1"/>
          <w:numId w:val="9"/>
        </w:numPr>
        <w:spacing w:line="360" w:lineRule="auto"/>
        <w:ind w:left="907" w:hanging="907" w:leftChars="0" w:firstLineChars="0"/>
        <w:rPr>
          <w:rFonts w:ascii="宋体" w:eastAsia="宋体" w:hAnsi="宋体" w:cs="宋体" w:hint="eastAsia"/>
          <w:b/>
          <w:bCs/>
          <w:kern w:val="2"/>
          <w:sz w:val="21"/>
          <w:szCs w:val="21"/>
          <w:lang w:eastAsia="zh-CN"/>
        </w:rPr>
      </w:pPr>
      <w:r>
        <w:rPr>
          <w:rFonts w:ascii="宋体" w:eastAsia="宋体" w:hAnsi="宋体" w:cs="宋体" w:hint="eastAsia"/>
          <w:b/>
          <w:bCs/>
          <w:kern w:val="2"/>
          <w:sz w:val="21"/>
          <w:szCs w:val="21"/>
          <w:lang w:eastAsia="zh-CN"/>
        </w:rPr>
        <w:br w:type="page"/>
      </w:r>
    </w:p>
    <w:p>
      <w:pPr>
        <w:keepNext/>
        <w:keepLines/>
        <w:widowControl w:val="0"/>
        <w:spacing w:before="200" w:after="200"/>
        <w:jc w:val="center"/>
        <w:outlineLvl w:val="2"/>
        <w:rPr>
          <w:rFonts w:ascii="宋体" w:eastAsia="宋体" w:hAnsi="宋体" w:cs="宋体" w:hint="eastAsia"/>
          <w:b/>
          <w:bCs/>
          <w:kern w:val="2"/>
          <w:sz w:val="21"/>
          <w:szCs w:val="21"/>
          <w:lang w:eastAsia="zh-CN"/>
        </w:rPr>
      </w:pPr>
      <w:bookmarkStart w:id="101" w:name="_Toc16293"/>
      <w:r>
        <w:rPr>
          <w:rFonts w:ascii="宋体" w:eastAsia="宋体" w:hAnsi="宋体" w:cs="宋体" w:hint="eastAsia"/>
          <w:b/>
          <w:bCs/>
          <w:kern w:val="2"/>
          <w:sz w:val="21"/>
          <w:szCs w:val="21"/>
          <w:lang w:eastAsia="zh-CN"/>
        </w:rPr>
        <w:br/>
      </w:r>
      <w:bookmarkStart w:id="102" w:name="_Toc256000016"/>
      <w:r>
        <w:rPr>
          <w:rFonts w:ascii="宋体" w:eastAsia="宋体" w:hAnsi="宋体" w:cs="宋体" w:hint="eastAsia"/>
          <w:b/>
          <w:bCs/>
          <w:kern w:val="2"/>
          <w:sz w:val="21"/>
          <w:szCs w:val="21"/>
          <w:lang w:eastAsia="zh-CN"/>
        </w:rPr>
        <w:t>三、商务要求</w:t>
      </w:r>
      <w:bookmarkEnd w:id="102"/>
      <w:bookmarkEnd w:id="99"/>
      <w:bookmarkEnd w:id="100"/>
      <w:bookmarkEnd w:id="101"/>
    </w:p>
    <w:p>
      <w:pPr>
        <w:rPr>
          <w:rFonts w:ascii="宋体" w:eastAsia="宋体" w:hAnsi="宋体" w:cs="宋体" w:hint="eastAsia"/>
          <w:b/>
          <w:bCs/>
          <w:sz w:val="21"/>
          <w:szCs w:val="21"/>
          <w:lang w:eastAsia="zh-CN"/>
        </w:rPr>
      </w:pPr>
      <w:r>
        <w:rPr>
          <w:rFonts w:ascii="宋体" w:eastAsia="宋体" w:hAnsi="宋体" w:cs="宋体" w:hint="eastAsia"/>
          <w:b/>
          <w:bCs/>
          <w:sz w:val="21"/>
          <w:szCs w:val="21"/>
          <w:lang w:eastAsia="zh-CN"/>
        </w:rPr>
        <w:t>说明：带“★”指标项为实质性条款，如出现负偏离，将被视为未实质性满足招标文件要求作响应无效处理。</w:t>
      </w:r>
    </w:p>
    <w:p>
      <w:pPr>
        <w:rPr>
          <w:rFonts w:ascii="宋体" w:eastAsia="宋体" w:hAnsi="宋体" w:cs="宋体" w:hint="eastAsia"/>
          <w:sz w:val="21"/>
          <w:szCs w:val="21"/>
          <w:lang w:eastAsia="zh-CN"/>
        </w:rPr>
      </w:pPr>
    </w:p>
    <w:tbl>
      <w:tblPr>
        <w:tblStyle w:val="TableNormal"/>
        <w:tblpPr w:leftFromText="180" w:rightFromText="180" w:vertAnchor="text" w:horzAnchor="page" w:tblpX="1843" w:tblpY="74"/>
        <w:tblOverlap w:val="never"/>
        <w:tblW w:w="499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42"/>
        <w:gridCol w:w="1313"/>
        <w:gridCol w:w="6665"/>
      </w:tblGrid>
      <w:tr>
        <w:tblPrEx>
          <w:tblW w:w="4999"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138"/>
        </w:trPr>
        <w:tc>
          <w:tcPr>
            <w:tcW w:w="318"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1</w:t>
            </w:r>
          </w:p>
        </w:tc>
        <w:tc>
          <w:tcPr>
            <w:tcW w:w="770"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关于</w:t>
            </w:r>
            <w:r>
              <w:rPr>
                <w:rFonts w:ascii="宋体" w:hAnsi="宋体" w:cs="宋体" w:hint="eastAsia"/>
                <w:color w:val="auto"/>
                <w:sz w:val="21"/>
                <w:szCs w:val="21"/>
                <w:lang w:val="en-US" w:eastAsia="zh-CN"/>
              </w:rPr>
              <w:t>实</w:t>
            </w:r>
            <w:r>
              <w:rPr>
                <w:rFonts w:ascii="宋体" w:eastAsia="宋体" w:hAnsi="宋体" w:cs="宋体" w:hint="eastAsia"/>
                <w:color w:val="auto"/>
                <w:sz w:val="21"/>
                <w:szCs w:val="21"/>
              </w:rPr>
              <w:t>施</w:t>
            </w:r>
          </w:p>
        </w:tc>
        <w:tc>
          <w:tcPr>
            <w:tcW w:w="3910" w:type="pct"/>
            <w:tcBorders>
              <w:top w:val="single" w:sz="4" w:space="0" w:color="auto"/>
              <w:left w:val="single" w:sz="4" w:space="0" w:color="auto"/>
              <w:bottom w:val="single" w:sz="4" w:space="0" w:color="auto"/>
              <w:right w:val="single" w:sz="4" w:space="0" w:color="auto"/>
            </w:tcBorders>
          </w:tcPr>
          <w:p>
            <w:pPr>
              <w:widowControl w:val="0"/>
              <w:jc w:val="both"/>
              <w:rPr>
                <w:rFonts w:ascii="宋体" w:eastAsia="宋体" w:hAnsi="宋体" w:cs="宋体"/>
                <w:color w:val="auto"/>
                <w:kern w:val="2"/>
                <w:sz w:val="21"/>
                <w:szCs w:val="21"/>
                <w:lang w:eastAsia="zh-CN"/>
              </w:rPr>
            </w:pPr>
            <w:r>
              <w:rPr>
                <w:rFonts w:ascii="宋体" w:eastAsia="宋体" w:hAnsi="宋体" w:cs="宋体" w:hint="eastAsia"/>
                <w:color w:val="auto"/>
                <w:kern w:val="0"/>
                <w:sz w:val="24"/>
                <w:szCs w:val="24"/>
                <w:lang w:val="en-US" w:eastAsia="zh-CN"/>
              </w:rPr>
              <w:t>1.1实施地点：深圳市坪山区碧岭街道振碧路19号（南方医科大学深圳坪山医院（深圳市坪山区人民医院）新院区）。</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1.2服务期限：自合同签订之日起至本项目全部室内空气检测完成、全套CNAS检测报告交付采购人并验收合格。根据医院的交付入驻进度，按批次实施。接到采购人进场作业通知后，按服务时间和标准完成对应批次采样检测；中标人负责协调落实GB/T18883</w:t>
            </w:r>
            <w:r>
              <w:rPr>
                <w:rFonts w:ascii="宋体" w:eastAsia="宋体" w:hAnsi="宋体" w:cs="宋体" w:hint="eastAsia"/>
                <w:color w:val="auto"/>
                <w:kern w:val="0"/>
                <w:sz w:val="24"/>
                <w:szCs w:val="24"/>
                <w:lang w:val="en-US" w:eastAsia="zh-CN"/>
              </w:rPr>
              <w:noBreakHyphen/>
            </w:r>
            <w:r>
              <w:rPr>
                <w:rFonts w:ascii="宋体" w:eastAsia="宋体" w:hAnsi="宋体" w:cs="宋体" w:hint="eastAsia"/>
                <w:color w:val="auto"/>
                <w:kern w:val="0"/>
                <w:sz w:val="24"/>
                <w:szCs w:val="24"/>
                <w:lang w:val="en-US" w:eastAsia="zh-CN"/>
              </w:rPr>
              <w:t>2022标准要求的不少于12小时房间密闭条件。服务期间，中标单位负责服务全过程安全保障，落实各项安全、院感防护措施。服务期间如发生任何安全事故，全部责任由中标单位承担。</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1.3采样检测具体开始时间以采购人实际通知为准，可分多批次开展现场采样、分批次出具检测报告。执行GB/T18883</w:t>
            </w:r>
            <w:r>
              <w:rPr>
                <w:rFonts w:ascii="宋体" w:eastAsia="宋体" w:hAnsi="宋体" w:cs="宋体" w:hint="eastAsia"/>
                <w:color w:val="auto"/>
                <w:kern w:val="0"/>
                <w:sz w:val="24"/>
                <w:szCs w:val="24"/>
                <w:lang w:val="en-US" w:eastAsia="zh-CN"/>
              </w:rPr>
              <w:noBreakHyphen/>
            </w:r>
            <w:r>
              <w:rPr>
                <w:rFonts w:ascii="宋体" w:eastAsia="宋体" w:hAnsi="宋体" w:cs="宋体" w:hint="eastAsia"/>
                <w:color w:val="auto"/>
                <w:kern w:val="0"/>
                <w:sz w:val="24"/>
                <w:szCs w:val="24"/>
                <w:lang w:val="en-US" w:eastAsia="zh-CN"/>
              </w:rPr>
              <w:t>2022《室内空气质量标准》；本项目为总价包干，包含预计</w:t>
            </w:r>
            <w:r>
              <w:rPr>
                <w:rFonts w:ascii="宋体" w:hAnsi="宋体" w:cs="宋体" w:hint="eastAsia"/>
                <w:color w:val="auto"/>
                <w:kern w:val="0"/>
                <w:sz w:val="24"/>
                <w:szCs w:val="24"/>
                <w:lang w:val="en-US" w:eastAsia="zh-CN"/>
              </w:rPr>
              <w:t>6</w:t>
            </w:r>
            <w:r>
              <w:rPr>
                <w:rFonts w:ascii="宋体" w:eastAsia="宋体" w:hAnsi="宋体" w:cs="宋体" w:hint="eastAsia"/>
                <w:color w:val="auto"/>
                <w:kern w:val="0"/>
                <w:sz w:val="24"/>
                <w:szCs w:val="24"/>
                <w:lang w:val="en-US" w:eastAsia="zh-CN"/>
              </w:rPr>
              <w:t>00个检测点位全部工作，最终点位数量以采购人现场实际确认数量为准，合同总价不作调整。</w:t>
            </w:r>
          </w:p>
        </w:tc>
      </w:tr>
      <w:tr>
        <w:tblPrEx>
          <w:tblW w:w="4999" w:type="pct"/>
          <w:tblInd w:w="0" w:type="dxa"/>
          <w:tblCellMar>
            <w:top w:w="0" w:type="dxa"/>
            <w:left w:w="108" w:type="dxa"/>
            <w:bottom w:w="0" w:type="dxa"/>
            <w:right w:w="108" w:type="dxa"/>
          </w:tblCellMar>
        </w:tblPrEx>
        <w:trPr>
          <w:trHeight w:val="988"/>
        </w:trPr>
        <w:tc>
          <w:tcPr>
            <w:tcW w:w="318"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2</w:t>
            </w:r>
          </w:p>
        </w:tc>
        <w:tc>
          <w:tcPr>
            <w:tcW w:w="770"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服务监督</w:t>
            </w:r>
          </w:p>
        </w:tc>
        <w:tc>
          <w:tcPr>
            <w:tcW w:w="3910" w:type="pct"/>
            <w:tcBorders>
              <w:top w:val="single" w:sz="4" w:space="0" w:color="auto"/>
              <w:left w:val="single" w:sz="4" w:space="0" w:color="auto"/>
              <w:bottom w:val="single" w:sz="4" w:space="0" w:color="auto"/>
              <w:right w:val="single" w:sz="4" w:space="0" w:color="auto"/>
            </w:tcBorders>
          </w:tcPr>
          <w:p>
            <w:pPr>
              <w:widowControl w:val="0"/>
              <w:jc w:val="both"/>
              <w:rPr>
                <w:rFonts w:ascii="宋体" w:eastAsia="宋体" w:hAnsi="宋体" w:cs="宋体"/>
                <w:bCs/>
                <w:color w:val="auto"/>
                <w:sz w:val="21"/>
                <w:szCs w:val="21"/>
                <w:lang w:eastAsia="zh-CN"/>
              </w:rPr>
            </w:pPr>
            <w:r>
              <w:rPr>
                <w:rFonts w:ascii="宋体" w:eastAsia="宋体" w:hAnsi="宋体" w:cs="宋体" w:hint="eastAsia"/>
                <w:color w:val="auto"/>
                <w:kern w:val="0"/>
                <w:sz w:val="24"/>
                <w:szCs w:val="24"/>
                <w:lang w:val="en-US" w:eastAsia="zh-CN"/>
              </w:rPr>
              <w:t>2.1合同期内采购人可随时对中标单位采样流程、人员、仪器设备、CNAS报告质量、GB/T18883</w:t>
            </w:r>
            <w:r>
              <w:rPr>
                <w:rFonts w:ascii="宋体" w:eastAsia="宋体" w:hAnsi="宋体" w:cs="宋体" w:hint="eastAsia"/>
                <w:color w:val="auto"/>
                <w:kern w:val="0"/>
                <w:sz w:val="24"/>
                <w:szCs w:val="24"/>
                <w:lang w:val="en-US" w:eastAsia="zh-CN"/>
              </w:rPr>
              <w:noBreakHyphen/>
            </w:r>
            <w:r>
              <w:rPr>
                <w:rFonts w:ascii="宋体" w:eastAsia="宋体" w:hAnsi="宋体" w:cs="宋体" w:hint="eastAsia"/>
                <w:color w:val="auto"/>
                <w:kern w:val="0"/>
                <w:sz w:val="24"/>
                <w:szCs w:val="24"/>
                <w:lang w:val="en-US" w:eastAsia="zh-CN"/>
              </w:rPr>
              <w:t>2022标准执行情况进行监督检查。</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2.2中标单位服务人员违反医院院感、安保规章制度，采购人有权要求整改或更换人员。</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2.3中标单位人员进入院区作业，必须遵守医院各项管理制度，否则医院有权拒绝人员进场，造成损失全部由中标单位承担。</w:t>
            </w:r>
          </w:p>
        </w:tc>
      </w:tr>
      <w:tr>
        <w:tblPrEx>
          <w:tblW w:w="4999" w:type="pct"/>
          <w:tblInd w:w="0" w:type="dxa"/>
          <w:tblCellMar>
            <w:top w:w="0" w:type="dxa"/>
            <w:left w:w="108" w:type="dxa"/>
            <w:bottom w:w="0" w:type="dxa"/>
            <w:right w:w="108" w:type="dxa"/>
          </w:tblCellMar>
        </w:tblPrEx>
        <w:trPr>
          <w:trHeight w:val="505"/>
        </w:trPr>
        <w:tc>
          <w:tcPr>
            <w:tcW w:w="318"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3</w:t>
            </w:r>
          </w:p>
        </w:tc>
        <w:tc>
          <w:tcPr>
            <w:tcW w:w="770"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关于违约</w:t>
            </w:r>
          </w:p>
        </w:tc>
        <w:tc>
          <w:tcPr>
            <w:tcW w:w="3910" w:type="pct"/>
            <w:tcBorders>
              <w:top w:val="single" w:sz="4" w:space="0" w:color="auto"/>
              <w:left w:val="single" w:sz="4" w:space="0" w:color="auto"/>
              <w:bottom w:val="single" w:sz="4" w:space="0" w:color="auto"/>
              <w:right w:val="single" w:sz="4" w:space="0" w:color="auto"/>
            </w:tcBorders>
          </w:tcPr>
          <w:p>
            <w:pPr>
              <w:widowControl w:val="0"/>
              <w:jc w:val="both"/>
              <w:rPr>
                <w:rFonts w:ascii="宋体" w:eastAsia="宋体" w:hAnsi="宋体" w:cs="宋体"/>
                <w:bCs/>
                <w:color w:val="auto"/>
                <w:sz w:val="21"/>
                <w:szCs w:val="21"/>
                <w:lang w:eastAsia="zh-CN"/>
              </w:rPr>
            </w:pPr>
            <w:r>
              <w:rPr>
                <w:rFonts w:ascii="宋体" w:eastAsia="宋体" w:hAnsi="宋体" w:cs="宋体" w:hint="eastAsia"/>
                <w:color w:val="auto"/>
                <w:kern w:val="0"/>
                <w:sz w:val="24"/>
                <w:szCs w:val="24"/>
                <w:lang w:val="en-US" w:eastAsia="zh-CN"/>
              </w:rPr>
              <w:t>3.1服务响应时间：采购人通知进场采样时，中标单位须按采购人要求按时到场开展采样；未按时到场、人员仪器不到位、未落实GB/T18883</w:t>
            </w:r>
            <w:r>
              <w:rPr>
                <w:rFonts w:ascii="宋体" w:eastAsia="宋体" w:hAnsi="宋体" w:cs="宋体" w:hint="eastAsia"/>
                <w:color w:val="auto"/>
                <w:kern w:val="0"/>
                <w:sz w:val="24"/>
                <w:szCs w:val="24"/>
                <w:lang w:val="en-US" w:eastAsia="zh-CN"/>
              </w:rPr>
              <w:noBreakHyphen/>
            </w:r>
            <w:r>
              <w:rPr>
                <w:rFonts w:ascii="宋体" w:eastAsia="宋体" w:hAnsi="宋体" w:cs="宋体" w:hint="eastAsia"/>
                <w:color w:val="auto"/>
                <w:kern w:val="0"/>
                <w:sz w:val="24"/>
                <w:szCs w:val="24"/>
                <w:lang w:val="en-US" w:eastAsia="zh-CN"/>
              </w:rPr>
              <w:t>2022标准12小时密闭条件，每次扣罚1000元违约金。</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3.2中标单位必须严格按照GB/T18883</w:t>
            </w:r>
            <w:r>
              <w:rPr>
                <w:rFonts w:ascii="宋体" w:eastAsia="宋体" w:hAnsi="宋体" w:cs="宋体" w:hint="eastAsia"/>
                <w:color w:val="auto"/>
                <w:kern w:val="0"/>
                <w:sz w:val="24"/>
                <w:szCs w:val="24"/>
                <w:lang w:val="en-US" w:eastAsia="zh-CN"/>
              </w:rPr>
              <w:noBreakHyphen/>
            </w:r>
            <w:r>
              <w:rPr>
                <w:rFonts w:ascii="宋体" w:eastAsia="宋体" w:hAnsi="宋体" w:cs="宋体" w:hint="eastAsia"/>
                <w:color w:val="auto"/>
                <w:kern w:val="0"/>
                <w:sz w:val="24"/>
                <w:szCs w:val="24"/>
                <w:lang w:val="en-US" w:eastAsia="zh-CN"/>
              </w:rPr>
              <w:t>2022规范、采购人时间节点完成采样、分析、报告编制；报告存在错漏、CNAS认可能力不覆盖本项目6项参数、报告无有效CNAS标识、未执行国标12小时密闭采样，必须限期无偿整改重出报告；拒不执行整改的，每项每次处以1000元违约金；连续出现3次，采购人有权解除合同。</w:t>
            </w:r>
          </w:p>
        </w:tc>
      </w:tr>
      <w:tr>
        <w:tblPrEx>
          <w:tblW w:w="4999" w:type="pct"/>
          <w:tblInd w:w="0" w:type="dxa"/>
          <w:tblCellMar>
            <w:top w:w="0" w:type="dxa"/>
            <w:left w:w="108" w:type="dxa"/>
            <w:bottom w:w="0" w:type="dxa"/>
            <w:right w:w="108" w:type="dxa"/>
          </w:tblCellMar>
        </w:tblPrEx>
        <w:trPr>
          <w:trHeight w:val="1757"/>
        </w:trPr>
        <w:tc>
          <w:tcPr>
            <w:tcW w:w="318"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4</w:t>
            </w:r>
          </w:p>
        </w:tc>
        <w:tc>
          <w:tcPr>
            <w:tcW w:w="770"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付款方式</w:t>
            </w:r>
          </w:p>
        </w:tc>
        <w:tc>
          <w:tcPr>
            <w:tcW w:w="3910" w:type="pct"/>
            <w:tcBorders>
              <w:top w:val="single" w:sz="4" w:space="0" w:color="auto"/>
              <w:left w:val="single" w:sz="4" w:space="0" w:color="auto"/>
              <w:bottom w:val="single" w:sz="4" w:space="0" w:color="auto"/>
              <w:right w:val="single" w:sz="4" w:space="0" w:color="auto"/>
            </w:tcBorders>
          </w:tcPr>
          <w:p>
            <w:pPr>
              <w:widowControl/>
              <w:rPr>
                <w:rFonts w:ascii="宋体" w:eastAsia="宋体" w:hAnsi="宋体" w:cs="宋体"/>
                <w:bCs/>
                <w:color w:val="auto"/>
                <w:sz w:val="21"/>
                <w:szCs w:val="21"/>
                <w:lang w:eastAsia="zh-CN"/>
              </w:rPr>
            </w:pPr>
            <w:r>
              <w:rPr>
                <w:rFonts w:ascii="宋体" w:eastAsia="宋体" w:hAnsi="宋体" w:cs="宋体" w:hint="eastAsia"/>
                <w:color w:val="auto"/>
                <w:kern w:val="0"/>
                <w:sz w:val="24"/>
                <w:szCs w:val="24"/>
                <w:lang w:val="en-US" w:eastAsia="zh-CN"/>
              </w:rPr>
              <w:t>4.1预付款：合同签订之后，中标单位在接到采购人进场通知后的10个工作日内，采购人支付中标价的</w:t>
            </w:r>
            <w:r>
              <w:rPr>
                <w:rFonts w:ascii="宋体" w:hAnsi="宋体" w:cs="宋体" w:hint="eastAsia"/>
                <w:color w:val="auto"/>
                <w:kern w:val="0"/>
                <w:sz w:val="24"/>
                <w:szCs w:val="24"/>
                <w:lang w:val="en-US" w:eastAsia="zh-CN"/>
              </w:rPr>
              <w:t>50</w:t>
            </w:r>
            <w:r>
              <w:rPr>
                <w:rFonts w:ascii="宋体" w:eastAsia="宋体" w:hAnsi="宋体" w:cs="宋体" w:hint="eastAsia"/>
                <w:color w:val="auto"/>
                <w:kern w:val="0"/>
                <w:sz w:val="24"/>
                <w:szCs w:val="24"/>
                <w:lang w:val="en-US" w:eastAsia="zh-CN"/>
              </w:rPr>
              <w:t>%作为预付款；项目全部检测工作完成，全套带CNAS标识正式检测报告交付采购人，验收合格并收到合法完税发票后，支付中标价剩余</w:t>
            </w:r>
            <w:r>
              <w:rPr>
                <w:rFonts w:ascii="宋体" w:hAnsi="宋体" w:cs="宋体" w:hint="eastAsia"/>
                <w:color w:val="auto"/>
                <w:kern w:val="0"/>
                <w:sz w:val="24"/>
                <w:szCs w:val="24"/>
                <w:lang w:val="en-US" w:eastAsia="zh-CN"/>
              </w:rPr>
              <w:t>50</w:t>
            </w:r>
            <w:r>
              <w:rPr>
                <w:rFonts w:ascii="宋体" w:eastAsia="宋体" w:hAnsi="宋体" w:cs="宋体" w:hint="eastAsia"/>
                <w:color w:val="auto"/>
                <w:kern w:val="0"/>
                <w:sz w:val="24"/>
                <w:szCs w:val="24"/>
                <w:lang w:val="en-US" w:eastAsia="zh-CN"/>
              </w:rPr>
              <w:t>%尾款。</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4.2因财政资金拨款未到位而导致</w:t>
            </w:r>
            <w:r>
              <w:rPr>
                <w:rFonts w:ascii="宋体" w:hAnsi="宋体" w:cs="宋体" w:hint="eastAsia"/>
                <w:color w:val="auto"/>
                <w:kern w:val="0"/>
                <w:sz w:val="24"/>
                <w:szCs w:val="24"/>
                <w:lang w:val="en-US" w:eastAsia="zh-CN"/>
              </w:rPr>
              <w:t>采购人</w:t>
            </w:r>
            <w:r>
              <w:rPr>
                <w:rFonts w:ascii="宋体" w:eastAsia="宋体" w:hAnsi="宋体" w:cs="宋体" w:hint="eastAsia"/>
                <w:color w:val="auto"/>
                <w:kern w:val="0"/>
                <w:sz w:val="24"/>
                <w:szCs w:val="24"/>
                <w:lang w:val="en-US" w:eastAsia="zh-CN"/>
              </w:rPr>
              <w:t>未在约定期限内支付合同费用的，中标供应商不得要求采购人承担逾期付款的违约责任。付款前，中标供应商应需先提供相应额度的正规发票给采购人，以便办理支付手续。</w:t>
            </w:r>
          </w:p>
        </w:tc>
      </w:tr>
      <w:tr>
        <w:tblPrEx>
          <w:tblW w:w="4999" w:type="pct"/>
          <w:tblInd w:w="0" w:type="dxa"/>
          <w:tblCellMar>
            <w:top w:w="0" w:type="dxa"/>
            <w:left w:w="108" w:type="dxa"/>
            <w:bottom w:w="0" w:type="dxa"/>
            <w:right w:w="108" w:type="dxa"/>
          </w:tblCellMar>
        </w:tblPrEx>
        <w:trPr>
          <w:trHeight w:val="770"/>
        </w:trPr>
        <w:tc>
          <w:tcPr>
            <w:tcW w:w="318"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color w:val="auto"/>
                <w:kern w:val="2"/>
                <w:sz w:val="21"/>
                <w:szCs w:val="21"/>
              </w:rPr>
            </w:pPr>
            <w:r>
              <w:rPr>
                <w:rFonts w:ascii="宋体" w:eastAsia="宋体" w:hAnsi="宋体" w:cs="宋体" w:hint="eastAsia"/>
                <w:color w:val="auto"/>
                <w:sz w:val="21"/>
                <w:szCs w:val="21"/>
              </w:rPr>
              <w:t>5</w:t>
            </w:r>
          </w:p>
        </w:tc>
        <w:tc>
          <w:tcPr>
            <w:tcW w:w="770" w:type="pct"/>
            <w:tcBorders>
              <w:top w:val="single" w:sz="4" w:space="0" w:color="auto"/>
              <w:left w:val="single" w:sz="4" w:space="0" w:color="auto"/>
              <w:bottom w:val="single" w:sz="4" w:space="0" w:color="auto"/>
              <w:right w:val="single" w:sz="4" w:space="0" w:color="auto"/>
            </w:tcBorders>
            <w:vAlign w:val="center"/>
          </w:tcPr>
          <w:p>
            <w:pPr>
              <w:widowControl w:val="0"/>
              <w:tabs>
                <w:tab w:val="left" w:pos="562"/>
                <w:tab w:val="left" w:pos="3372"/>
                <w:tab w:val="left" w:pos="3653"/>
                <w:tab w:val="left" w:pos="4760"/>
              </w:tabs>
              <w:jc w:val="center"/>
              <w:rPr>
                <w:rFonts w:ascii="宋体" w:eastAsia="宋体" w:hAnsi="宋体" w:cs="宋体"/>
                <w:color w:val="auto"/>
                <w:sz w:val="21"/>
                <w:szCs w:val="21"/>
                <w:lang w:eastAsia="zh-CN"/>
              </w:rPr>
            </w:pPr>
            <w:r>
              <w:rPr>
                <w:rFonts w:ascii="宋体" w:eastAsia="宋体" w:hAnsi="宋体" w:cs="宋体" w:hint="eastAsia"/>
                <w:color w:val="auto"/>
                <w:kern w:val="2"/>
                <w:sz w:val="21"/>
                <w:szCs w:val="21"/>
                <w:lang w:eastAsia="zh-CN"/>
              </w:rPr>
              <w:t>报价方式及要求</w:t>
            </w:r>
          </w:p>
        </w:tc>
        <w:tc>
          <w:tcPr>
            <w:tcW w:w="3910" w:type="pct"/>
            <w:tcBorders>
              <w:top w:val="single" w:sz="4" w:space="0" w:color="auto"/>
              <w:left w:val="single" w:sz="4" w:space="0" w:color="auto"/>
              <w:bottom w:val="single" w:sz="4" w:space="0" w:color="auto"/>
              <w:right w:val="single" w:sz="4" w:space="0" w:color="auto"/>
            </w:tcBorders>
          </w:tcPr>
          <w:p>
            <w:pPr>
              <w:ind w:firstLine="0" w:firstLineChars="0"/>
              <w:jc w:val="left"/>
              <w:rPr>
                <w:rFonts w:ascii="宋体" w:eastAsia="宋体" w:hAnsi="宋体" w:cs="宋体"/>
                <w:bCs/>
                <w:color w:val="auto"/>
                <w:sz w:val="21"/>
                <w:szCs w:val="21"/>
                <w:lang w:eastAsia="zh-CN"/>
              </w:rPr>
            </w:pPr>
            <w:r>
              <w:rPr>
                <w:rFonts w:ascii="宋体" w:eastAsia="宋体" w:hAnsi="宋体" w:cs="宋体" w:hint="eastAsia"/>
                <w:color w:val="auto"/>
                <w:kern w:val="0"/>
                <w:sz w:val="24"/>
                <w:szCs w:val="24"/>
                <w:lang w:val="en-US" w:eastAsia="zh-CN"/>
              </w:rPr>
              <w:t>5.1承包方式：本项目为</w:t>
            </w:r>
            <w:r>
              <w:rPr>
                <w:rStyle w:val="Strong"/>
                <w:rFonts w:ascii="宋体" w:eastAsia="宋体" w:hAnsi="宋体" w:cs="宋体" w:hint="eastAsia"/>
                <w:color w:val="auto"/>
                <w:kern w:val="0"/>
                <w:sz w:val="24"/>
                <w:szCs w:val="24"/>
                <w:lang w:val="en-US" w:eastAsia="zh-CN"/>
              </w:rPr>
              <w:t>总价包干</w:t>
            </w:r>
            <w:r>
              <w:rPr>
                <w:rFonts w:ascii="宋体" w:eastAsia="宋体" w:hAnsi="宋体" w:cs="宋体" w:hint="eastAsia"/>
                <w:color w:val="auto"/>
                <w:kern w:val="0"/>
                <w:sz w:val="24"/>
                <w:szCs w:val="24"/>
                <w:lang w:val="en-US" w:eastAsia="zh-CN"/>
              </w:rPr>
              <w:t>，合同期限内包工包料、包全部约</w:t>
            </w:r>
            <w:r>
              <w:rPr>
                <w:rFonts w:ascii="宋体" w:hAnsi="宋体" w:cs="宋体" w:hint="eastAsia"/>
                <w:color w:val="auto"/>
                <w:kern w:val="0"/>
                <w:sz w:val="24"/>
                <w:szCs w:val="24"/>
                <w:lang w:val="en-US" w:eastAsia="zh-CN"/>
              </w:rPr>
              <w:t>6</w:t>
            </w:r>
            <w:r>
              <w:rPr>
                <w:rFonts w:ascii="宋体" w:eastAsia="宋体" w:hAnsi="宋体" w:cs="宋体" w:hint="eastAsia"/>
                <w:color w:val="auto"/>
                <w:kern w:val="0"/>
                <w:sz w:val="24"/>
                <w:szCs w:val="24"/>
                <w:lang w:val="en-US" w:eastAsia="zh-CN"/>
              </w:rPr>
              <w:t>00个点位采样、包实验室分析、包CNAS报告出具、包质量、包安全、包院感防护、包房间密闭协调、包自检、包全部税费、包风险的形式承包本项目，点位数量发生变化，合同总价不作调整。</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5.2投标报价必须是人民币含税价，投标报价为包干价方式，具体如下：</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5.2.1包干总价应包括完成全部工作内容所需的人工费、仪器设备使用费、试剂耗材费、实验室分析费、报告编制费、现场密闭协调管理、交通差旅、保密管理、税费、利润、风险等，招标文件虽未提及但完成本项目检测服务必须发生的全部相关费用。结算时不再予以调整。</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5.2.2本项目存在分批次采样、加班作业、多房间12小时密闭协调工作可能，投标单位报价综合考虑该因素，中标后不再另行增加任何费用。</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5.2.3投标单位应依据招标文件的工作范围、内容和要求，结合项目情况自行测算，自主报价。</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5.2.</w:t>
            </w:r>
            <w:r>
              <w:rPr>
                <w:rFonts w:ascii="宋体" w:hAnsi="宋体" w:cs="宋体" w:hint="eastAsia"/>
                <w:color w:val="auto"/>
                <w:kern w:val="0"/>
                <w:sz w:val="24"/>
                <w:szCs w:val="24"/>
                <w:lang w:val="en-US" w:eastAsia="zh-CN"/>
              </w:rPr>
              <w:t>4</w:t>
            </w:r>
            <w:r>
              <w:rPr>
                <w:rFonts w:ascii="宋体" w:eastAsia="宋体" w:hAnsi="宋体" w:cs="宋体" w:hint="eastAsia"/>
                <w:color w:val="auto"/>
                <w:kern w:val="0"/>
                <w:sz w:val="24"/>
                <w:szCs w:val="24"/>
                <w:lang w:val="en-US" w:eastAsia="zh-CN"/>
              </w:rPr>
              <w:t>因项目现场存在分批交付、部分区域复测的可能性，投标方报价综合考虑复测相关风险。</w:t>
            </w:r>
            <w:r>
              <w:rPr>
                <w:rFonts w:ascii="宋体" w:eastAsia="宋体" w:hAnsi="宋体" w:cs="宋体" w:hint="eastAsia"/>
                <w:color w:val="auto"/>
                <w:kern w:val="0"/>
                <w:sz w:val="24"/>
                <w:szCs w:val="24"/>
                <w:lang w:val="en-US" w:eastAsia="zh-CN"/>
              </w:rPr>
              <w:br/>
            </w:r>
            <w:r>
              <w:rPr>
                <w:rFonts w:ascii="宋体" w:eastAsia="宋体" w:hAnsi="宋体" w:cs="宋体" w:hint="eastAsia"/>
                <w:color w:val="auto"/>
                <w:kern w:val="0"/>
                <w:sz w:val="24"/>
                <w:szCs w:val="24"/>
                <w:lang w:val="en-US" w:eastAsia="zh-CN"/>
              </w:rPr>
              <w:t>5.2.</w:t>
            </w:r>
            <w:r>
              <w:rPr>
                <w:rFonts w:ascii="宋体" w:hAnsi="宋体" w:cs="宋体" w:hint="eastAsia"/>
                <w:color w:val="auto"/>
                <w:kern w:val="0"/>
                <w:sz w:val="24"/>
                <w:szCs w:val="24"/>
                <w:lang w:val="en-US" w:eastAsia="zh-CN"/>
              </w:rPr>
              <w:t>5</w:t>
            </w:r>
            <w:r>
              <w:rPr>
                <w:rFonts w:ascii="宋体" w:eastAsia="宋体" w:hAnsi="宋体" w:cs="宋体" w:hint="eastAsia"/>
                <w:color w:val="auto"/>
                <w:kern w:val="0"/>
                <w:sz w:val="24"/>
                <w:szCs w:val="24"/>
                <w:lang w:val="en-US" w:eastAsia="zh-CN"/>
              </w:rPr>
              <w:t>投标单位应开具同等金额合法有效的税务发票，</w:t>
            </w:r>
            <w:r>
              <w:rPr>
                <w:rFonts w:ascii="宋体" w:hAnsi="宋体" w:cs="宋体" w:hint="eastAsia"/>
                <w:color w:val="auto"/>
                <w:kern w:val="0"/>
                <w:sz w:val="24"/>
                <w:szCs w:val="24"/>
                <w:lang w:val="en-US" w:eastAsia="zh-CN"/>
              </w:rPr>
              <w:t>采购人</w:t>
            </w:r>
            <w:r>
              <w:rPr>
                <w:rFonts w:ascii="宋体" w:eastAsia="宋体" w:hAnsi="宋体" w:cs="宋体" w:hint="eastAsia"/>
                <w:color w:val="auto"/>
                <w:kern w:val="0"/>
                <w:sz w:val="24"/>
                <w:szCs w:val="24"/>
                <w:lang w:val="en-US" w:eastAsia="zh-CN"/>
              </w:rPr>
              <w:t>以转账的方式支付。</w:t>
            </w:r>
          </w:p>
        </w:tc>
      </w:tr>
      <w:tr>
        <w:tblPrEx>
          <w:tblW w:w="4999" w:type="pct"/>
          <w:tblInd w:w="0" w:type="dxa"/>
          <w:tblCellMar>
            <w:top w:w="0" w:type="dxa"/>
            <w:left w:w="108" w:type="dxa"/>
            <w:bottom w:w="0" w:type="dxa"/>
            <w:right w:w="108" w:type="dxa"/>
          </w:tblCellMar>
        </w:tblPrEx>
        <w:trPr>
          <w:trHeight w:val="770"/>
        </w:trPr>
        <w:tc>
          <w:tcPr>
            <w:tcW w:w="318" w:type="pct"/>
            <w:tcBorders>
              <w:top w:val="single" w:sz="4" w:space="0" w:color="auto"/>
              <w:left w:val="single" w:sz="4" w:space="0" w:color="auto"/>
              <w:bottom w:val="single" w:sz="4" w:space="0" w:color="auto"/>
              <w:right w:val="single" w:sz="4" w:space="0" w:color="auto"/>
            </w:tcBorders>
            <w:vAlign w:val="center"/>
          </w:tcPr>
          <w:p>
            <w:pPr>
              <w:widowControl w:val="0"/>
              <w:jc w:val="center"/>
              <w:rPr>
                <w:rFonts w:ascii="宋体" w:eastAsia="宋体" w:hAnsi="宋体" w:cs="宋体" w:hint="eastAsia"/>
                <w:color w:val="auto"/>
                <w:sz w:val="21"/>
                <w:szCs w:val="21"/>
                <w:lang w:val="en-US" w:eastAsia="zh-CN"/>
              </w:rPr>
            </w:pPr>
            <w:r>
              <w:rPr>
                <w:rFonts w:ascii="宋体" w:hAnsi="宋体" w:cs="宋体" w:hint="eastAsia"/>
                <w:color w:val="auto"/>
                <w:sz w:val="21"/>
                <w:szCs w:val="21"/>
                <w:lang w:val="en-US" w:eastAsia="zh-CN"/>
              </w:rPr>
              <w:t>6</w:t>
            </w:r>
          </w:p>
        </w:tc>
        <w:tc>
          <w:tcPr>
            <w:tcW w:w="770" w:type="pct"/>
            <w:tcBorders>
              <w:top w:val="single" w:sz="4" w:space="0" w:color="auto"/>
              <w:left w:val="single" w:sz="4" w:space="0" w:color="auto"/>
              <w:bottom w:val="single" w:sz="4" w:space="0" w:color="auto"/>
              <w:right w:val="single" w:sz="4" w:space="0" w:color="auto"/>
            </w:tcBorders>
            <w:vAlign w:val="center"/>
          </w:tcPr>
          <w:p>
            <w:pPr>
              <w:widowControl w:val="0"/>
              <w:tabs>
                <w:tab w:val="left" w:pos="562"/>
                <w:tab w:val="left" w:pos="3372"/>
                <w:tab w:val="left" w:pos="3653"/>
                <w:tab w:val="left" w:pos="4760"/>
              </w:tabs>
              <w:jc w:val="center"/>
              <w:rPr>
                <w:rFonts w:ascii="宋体" w:eastAsia="宋体" w:hAnsi="宋体" w:cs="宋体" w:hint="eastAsia"/>
                <w:color w:val="auto"/>
                <w:kern w:val="2"/>
                <w:sz w:val="21"/>
                <w:szCs w:val="21"/>
                <w:lang w:eastAsia="zh-CN"/>
              </w:rPr>
            </w:pPr>
            <w:r>
              <w:rPr>
                <w:rFonts w:ascii="宋体" w:eastAsia="宋体" w:hAnsi="宋体" w:cs="宋体" w:hint="eastAsia"/>
                <w:color w:val="auto"/>
                <w:kern w:val="0"/>
                <w:sz w:val="24"/>
                <w:szCs w:val="24"/>
                <w:lang w:val="en-US" w:eastAsia="zh-CN"/>
              </w:rPr>
              <w:t>现场作业保护责任约定</w:t>
            </w:r>
          </w:p>
        </w:tc>
        <w:tc>
          <w:tcPr>
            <w:tcW w:w="3910" w:type="pct"/>
            <w:tcBorders>
              <w:top w:val="single" w:sz="4" w:space="0" w:color="auto"/>
              <w:left w:val="single" w:sz="4" w:space="0" w:color="auto"/>
              <w:bottom w:val="single" w:sz="4" w:space="0" w:color="auto"/>
              <w:right w:val="single" w:sz="4" w:space="0" w:color="auto"/>
            </w:tcBorders>
          </w:tcPr>
          <w:p>
            <w:pPr>
              <w:ind w:firstLine="0" w:firstLineChars="0"/>
              <w:jc w:val="left"/>
              <w:rPr>
                <w:rFonts w:ascii="宋体" w:eastAsia="宋体" w:hAnsi="宋体" w:cs="宋体" w:hint="eastAsia"/>
                <w:bCs w:val="0"/>
                <w:color w:val="auto"/>
                <w:sz w:val="21"/>
                <w:szCs w:val="24"/>
                <w:lang w:eastAsia="zh-CN"/>
              </w:rPr>
            </w:pPr>
            <w:r>
              <w:rPr>
                <w:rFonts w:ascii="宋体" w:eastAsia="宋体" w:hAnsi="宋体" w:cs="宋体" w:hint="eastAsia"/>
                <w:color w:val="auto"/>
                <w:kern w:val="0"/>
                <w:sz w:val="24"/>
                <w:szCs w:val="24"/>
                <w:lang w:val="en-US" w:eastAsia="zh-CN"/>
              </w:rPr>
              <w:t>中标单位在采样检测全过程，须规范作业，爱护院区建筑、装修饰面、门窗、设备设施等，不得造成磕碰、划伤、污染。若因中标单位作业操作不当、人员管理疏漏造成现场设施损坏、污染，中标单位须第一时间主动向采购单位报备，并无条件承担全部修复、清洁及赔偿责任。同时做好样品、原始检测数据、医院房间点位信息、CNAS检测报告等全部资料保密，未经采购人书面许可，不得对外展示、引用、传播检测报告。</w:t>
            </w:r>
          </w:p>
        </w:tc>
      </w:tr>
    </w:tbl>
    <w:p>
      <w:pPr>
        <w:pStyle w:val="15"/>
        <w:numPr>
          <w:ilvl w:val="0"/>
          <w:numId w:val="0"/>
        </w:numPr>
        <w:tabs>
          <w:tab w:val="left" w:pos="851"/>
        </w:tabs>
        <w:spacing w:line="400" w:lineRule="exact"/>
        <w:ind w:leftChars="0"/>
        <w:rPr>
          <w:rFonts w:eastAsia="宋体" w:hint="default"/>
          <w:b/>
          <w:bCs/>
          <w:highlight w:val="none"/>
          <w:lang w:val="en-US" w:eastAsia="zh-CN"/>
        </w:rPr>
      </w:pPr>
    </w:p>
    <w:p>
      <w:pPr>
        <w:pStyle w:val="15"/>
        <w:numPr>
          <w:ilvl w:val="0"/>
          <w:numId w:val="0"/>
        </w:numPr>
        <w:tabs>
          <w:tab w:val="left" w:pos="851"/>
        </w:tabs>
        <w:spacing w:line="400" w:lineRule="exact"/>
        <w:ind w:left="0" w:firstLine="0" w:leftChars="0" w:firstLineChars="0"/>
      </w:pPr>
      <w:r>
        <w:br w:type="page"/>
      </w:r>
    </w:p>
    <w:p>
      <w:pPr>
        <w:pStyle w:val="Heading1"/>
        <w:spacing w:line="240" w:lineRule="auto"/>
        <w:jc w:val="center"/>
      </w:pPr>
      <w:bookmarkStart w:id="103" w:name="_Toc24651"/>
      <w:bookmarkStart w:id="104" w:name="_Toc12700"/>
      <w:bookmarkStart w:id="105" w:name="_Toc15230"/>
      <w:bookmarkStart w:id="106" w:name="_Toc11559"/>
      <w:bookmarkStart w:id="107" w:name="_Toc12222"/>
      <w:bookmarkStart w:id="108" w:name="_Toc256000017"/>
      <w:r>
        <w:rPr>
          <w:rFonts w:hint="eastAsia"/>
        </w:rPr>
        <w:t>第三章 资格审查、评标和定标</w:t>
      </w:r>
      <w:bookmarkEnd w:id="108"/>
      <w:bookmarkEnd w:id="103"/>
      <w:bookmarkEnd w:id="104"/>
      <w:bookmarkEnd w:id="105"/>
      <w:bookmarkEnd w:id="106"/>
      <w:bookmarkEnd w:id="107"/>
    </w:p>
    <w:p>
      <w:pPr>
        <w:spacing w:line="400" w:lineRule="exact"/>
      </w:pPr>
    </w:p>
    <w:p>
      <w:pPr>
        <w:pStyle w:val="Heading2"/>
        <w:spacing w:line="400" w:lineRule="exact"/>
        <w:jc w:val="center"/>
      </w:pPr>
      <w:bookmarkStart w:id="109" w:name="_Toc459"/>
      <w:bookmarkStart w:id="110" w:name="_Toc30645"/>
      <w:bookmarkStart w:id="111" w:name="_Toc256000018"/>
      <w:r>
        <w:rPr>
          <w:rFonts w:hint="eastAsia"/>
        </w:rPr>
        <w:t>前附表</w:t>
      </w:r>
      <w:bookmarkEnd w:id="111"/>
      <w:bookmarkEnd w:id="109"/>
      <w:bookmarkEnd w:id="110"/>
    </w:p>
    <w:p>
      <w:r>
        <w:rPr>
          <w:rFonts w:hint="eastAsia"/>
        </w:rPr>
        <w:t>下表中“■”表明本项目选择该符号后所列内容，“</w:t>
      </w:r>
      <w:r>
        <w:rPr>
          <w:rFonts w:eastAsia="宋体" w:hAnsi="Calibri" w:cs="Times New Roman" w:hint="eastAsia"/>
          <w:szCs w:val="21"/>
        </w:rPr>
        <w:t>□</w:t>
      </w:r>
      <w:r>
        <w:rPr>
          <w:rFonts w:cs="Times New Roman" w:hint="eastAsia"/>
          <w:szCs w:val="21"/>
        </w:rPr>
        <w:t>”表明未选择该符号后所列内容。</w:t>
      </w:r>
    </w:p>
    <w:tbl>
      <w:tblPr>
        <w:tblStyle w:val="TableNormal"/>
        <w:tblW w:w="0" w:type="auto"/>
        <w:tblInd w:w="0" w:type="dxa"/>
        <w:tblLayout w:type="fixed"/>
        <w:tblCellMar>
          <w:top w:w="0" w:type="dxa"/>
          <w:left w:w="108" w:type="dxa"/>
          <w:bottom w:w="0" w:type="dxa"/>
          <w:right w:w="108" w:type="dxa"/>
        </w:tblCellMar>
      </w:tblPr>
      <w:tblGrid>
        <w:gridCol w:w="1008"/>
        <w:gridCol w:w="2731"/>
        <w:gridCol w:w="4783"/>
      </w:tblGrid>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条款号</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条款名称</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内  容</w:t>
            </w:r>
          </w:p>
        </w:tc>
      </w:tr>
      <w:tr>
        <w:tblPrEx>
          <w:tblW w:w="0" w:type="auto"/>
          <w:tblInd w:w="0" w:type="dxa"/>
          <w:tblLayout w:type="fixed"/>
          <w:tblCellMar>
            <w:top w:w="0" w:type="dxa"/>
            <w:left w:w="108" w:type="dxa"/>
            <w:bottom w:w="0" w:type="dxa"/>
            <w:right w:w="108" w:type="dxa"/>
          </w:tblCellMar>
        </w:tblPrEx>
        <w:tc>
          <w:tcPr>
            <w:tcW w:w="1008" w:type="dxa"/>
            <w:vMerge w:val="restart"/>
            <w:tcBorders>
              <w:top w:val="single" w:sz="4" w:space="0" w:color="auto"/>
              <w:left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3.2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bCs/>
                <w:szCs w:val="21"/>
              </w:rPr>
            </w:pPr>
            <w:r>
              <w:rPr>
                <w:rFonts w:hint="eastAsia"/>
                <w:b/>
                <w:bCs/>
              </w:rPr>
              <w:t>小型、微型企业评审中价格扣除</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宋体" w:hAnsi="黑体" w:cs="黑体" w:hint="default"/>
                <w:b/>
                <w:bCs/>
                <w:szCs w:val="21"/>
                <w:lang w:val="en-US" w:eastAsia="zh-CN"/>
              </w:rPr>
            </w:pPr>
            <w:r>
              <w:rPr>
                <w:rFonts w:eastAsia="黑体" w:hint="eastAsia"/>
                <w:b/>
                <w:bCs/>
                <w:lang w:val="en-US" w:eastAsia="zh-CN"/>
              </w:rPr>
              <w:t>10%</w:t>
            </w:r>
          </w:p>
        </w:tc>
      </w:tr>
      <w:tr>
        <w:tblPrEx>
          <w:tblW w:w="0" w:type="auto"/>
          <w:tblInd w:w="0" w:type="dxa"/>
          <w:tblLayout w:type="fixed"/>
          <w:tblCellMar>
            <w:top w:w="0" w:type="dxa"/>
            <w:left w:w="108" w:type="dxa"/>
            <w:bottom w:w="0" w:type="dxa"/>
            <w:right w:w="108" w:type="dxa"/>
          </w:tblCellMar>
        </w:tblPrEx>
        <w:tc>
          <w:tcPr>
            <w:tcW w:w="1008" w:type="dxa"/>
            <w:vMerge/>
            <w:tcBorders>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b/>
                <w:bCs/>
                <w:color w:val="000000"/>
              </w:rPr>
            </w:pPr>
            <w:r>
              <w:rPr>
                <w:rFonts w:hint="eastAsia"/>
                <w:b/>
                <w:bCs/>
                <w:color w:val="000000"/>
              </w:rPr>
              <w:t>采购标的对应的中小企业划分标准所属行业</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hint="default"/>
                <w:b/>
                <w:bCs/>
                <w:lang w:val="en-US" w:eastAsia="zh-CN"/>
              </w:rPr>
            </w:pPr>
            <w:r>
              <w:rPr>
                <w:rFonts w:hint="eastAsia"/>
                <w:b/>
                <w:bCs/>
                <w:lang w:val="en-US" w:eastAsia="zh-CN"/>
              </w:rPr>
              <w:t>其他未列明行业</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3.4.2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pPr>
            <w:r>
              <w:rPr>
                <w:rFonts w:hint="eastAsia"/>
              </w:rPr>
              <w:t>非单一产品采购项目核心产品</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rPr>
            </w:pPr>
            <w:r>
              <w:rPr>
                <w:rFonts w:hint="eastAsia"/>
              </w:rPr>
              <w:t>（无）</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4.1.2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pPr>
            <w:r>
              <w:rPr>
                <w:rFonts w:hint="eastAsia"/>
              </w:rPr>
              <w:t>本项目的评标方法</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4"/>
              </w:rPr>
            </w:pPr>
            <w:r>
              <w:rPr>
                <w:rFonts w:ascii="Times New Roman" w:hint="eastAsia"/>
                <w:sz w:val="21"/>
                <w:szCs w:val="24"/>
              </w:rPr>
              <w:t>■综合评分法</w:t>
            </w:r>
          </w:p>
          <w:p>
            <w:pPr>
              <w:spacing w:line="400" w:lineRule="exact"/>
            </w:pPr>
            <w:r>
              <w:rPr>
                <w:rFonts w:hint="eastAsia"/>
              </w:rPr>
              <w:t>□定性评审法</w:t>
            </w:r>
          </w:p>
          <w:p>
            <w:pPr>
              <w:spacing w:line="400" w:lineRule="exact"/>
            </w:pPr>
            <w:r>
              <w:rPr>
                <w:rFonts w:hint="eastAsia"/>
              </w:rPr>
              <w:t>□最低价法</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9.1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pPr>
            <w:r>
              <w:rPr>
                <w:rFonts w:hint="eastAsia"/>
              </w:rPr>
              <w:t>中标人及中标候选人数量</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4"/>
              </w:rPr>
            </w:pPr>
            <w:r>
              <w:rPr>
                <w:rFonts w:ascii="Times New Roman" w:hint="eastAsia"/>
                <w:sz w:val="21"/>
                <w:szCs w:val="24"/>
              </w:rPr>
              <w:t>中标人数量（N）：</w:t>
            </w:r>
            <w:r>
              <w:rPr>
                <w:rFonts w:ascii="Times New Roman"/>
                <w:sz w:val="21"/>
                <w:szCs w:val="24"/>
                <w:u w:val="single"/>
              </w:rPr>
              <w:t xml:space="preserve"> 1 </w:t>
            </w:r>
            <w:r>
              <w:rPr>
                <w:rFonts w:ascii="Times New Roman" w:hint="eastAsia"/>
                <w:sz w:val="21"/>
                <w:szCs w:val="24"/>
              </w:rPr>
              <w:t>名</w:t>
            </w:r>
          </w:p>
          <w:p>
            <w:pPr>
              <w:pStyle w:val="BodyText3"/>
              <w:spacing w:line="400" w:lineRule="exact"/>
              <w:rPr>
                <w:rFonts w:ascii="Times New Roman"/>
                <w:sz w:val="21"/>
                <w:szCs w:val="24"/>
              </w:rPr>
            </w:pPr>
            <w:r>
              <w:rPr>
                <w:rFonts w:ascii="Times New Roman" w:hint="eastAsia"/>
                <w:sz w:val="21"/>
                <w:szCs w:val="24"/>
              </w:rPr>
              <w:t>中标候选人数量：</w:t>
            </w:r>
            <w:r>
              <w:rPr>
                <w:rFonts w:ascii="Times New Roman" w:hint="eastAsia"/>
                <w:sz w:val="21"/>
                <w:szCs w:val="24"/>
                <w:u w:val="single"/>
              </w:rPr>
              <w:t xml:space="preserve"> 3 </w:t>
            </w:r>
            <w:r>
              <w:rPr>
                <w:rFonts w:ascii="Times New Roman" w:hint="eastAsia"/>
                <w:sz w:val="21"/>
                <w:szCs w:val="24"/>
              </w:rPr>
              <w:t>名</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9.2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pPr>
            <w:r>
              <w:rPr>
                <w:rFonts w:hint="eastAsia"/>
              </w:rPr>
              <w:t>是否评标定标分离</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pPr>
            <w:r>
              <w:rPr>
                <w:rFonts w:hint="eastAsia"/>
              </w:rPr>
              <w:t>□评定分离</w:t>
            </w:r>
          </w:p>
          <w:p>
            <w:pPr>
              <w:spacing w:line="400" w:lineRule="exact"/>
            </w:pPr>
            <w:r>
              <w:rPr>
                <w:rFonts w:hint="eastAsia"/>
              </w:rPr>
              <w:t>■不适用评定分离</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9.4</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pPr>
            <w:r>
              <w:rPr>
                <w:rFonts w:hint="eastAsia"/>
              </w:rPr>
              <w:t>评定分离时的定标方法</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pPr>
            <w:r>
              <w:rPr>
                <w:rFonts w:hint="eastAsia"/>
              </w:rPr>
              <w:t>□自定法</w:t>
            </w:r>
          </w:p>
          <w:p>
            <w:pPr>
              <w:spacing w:line="400" w:lineRule="exact"/>
            </w:pPr>
            <w:r>
              <w:rPr>
                <w:rFonts w:hint="eastAsia"/>
              </w:rPr>
              <w:t>□抽签法</w:t>
            </w:r>
          </w:p>
          <w:p>
            <w:pPr>
              <w:spacing w:line="400" w:lineRule="exact"/>
            </w:pPr>
            <w:r>
              <w:rPr>
                <w:rFonts w:hint="eastAsia"/>
              </w:rPr>
              <w:t>□竞价法</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9.4.5</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pPr>
            <w:r>
              <w:rPr>
                <w:rFonts w:hint="eastAsia"/>
              </w:rPr>
              <w:t>竞价定标阶段是否适用小型、微型企业价格扣除</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pPr>
            <w:r>
              <w:rPr>
                <w:rFonts w:hint="eastAsia"/>
              </w:rPr>
              <w:t>□不适用小型微型企业价格扣除</w:t>
            </w:r>
          </w:p>
          <w:p>
            <w:pPr>
              <w:spacing w:line="400" w:lineRule="exact"/>
            </w:pPr>
            <w:r>
              <w:rPr>
                <w:rFonts w:hint="eastAsia"/>
              </w:rPr>
              <w:t>□适用，扣除比例见本章3.2条</w:t>
            </w:r>
          </w:p>
        </w:tc>
      </w:tr>
    </w:tbl>
    <w:p>
      <w:pPr>
        <w:spacing w:line="400" w:lineRule="exact"/>
      </w:pPr>
    </w:p>
    <w:p>
      <w:pPr>
        <w:spacing w:line="400" w:lineRule="exact"/>
      </w:pPr>
    </w:p>
    <w:p>
      <w:pPr>
        <w:spacing w:line="400" w:lineRule="exact"/>
      </w:pPr>
    </w:p>
    <w:p>
      <w:pPr>
        <w:spacing w:line="400" w:lineRule="exact"/>
      </w:pPr>
    </w:p>
    <w:p>
      <w:pPr>
        <w:spacing w:line="400" w:lineRule="exact"/>
      </w:pPr>
    </w:p>
    <w:p>
      <w:pPr>
        <w:spacing w:line="400" w:lineRule="exact"/>
      </w:pPr>
      <w:r>
        <w:rPr>
          <w:rFonts w:hint="eastAsia"/>
        </w:rPr>
        <w:br w:type="page"/>
      </w:r>
    </w:p>
    <w:p>
      <w:pPr>
        <w:pStyle w:val="Heading2"/>
        <w:spacing w:line="400" w:lineRule="exact"/>
      </w:pPr>
      <w:bookmarkStart w:id="112" w:name="_Toc16157"/>
      <w:bookmarkStart w:id="113" w:name="_Toc16758"/>
      <w:bookmarkStart w:id="114" w:name="_Toc3049"/>
      <w:bookmarkStart w:id="115" w:name="_Toc4843"/>
      <w:bookmarkStart w:id="116" w:name="_Toc28226"/>
      <w:bookmarkStart w:id="117" w:name="_Toc256000019"/>
      <w:r>
        <w:rPr>
          <w:rFonts w:hint="eastAsia"/>
        </w:rPr>
        <w:t>1. 资格审查</w:t>
      </w:r>
      <w:bookmarkEnd w:id="117"/>
      <w:bookmarkEnd w:id="112"/>
      <w:bookmarkEnd w:id="113"/>
      <w:bookmarkEnd w:id="114"/>
      <w:bookmarkEnd w:id="115"/>
      <w:bookmarkEnd w:id="116"/>
    </w:p>
    <w:p>
      <w:pPr>
        <w:pStyle w:val="Heading3"/>
        <w:spacing w:line="400" w:lineRule="exact"/>
      </w:pPr>
      <w:bookmarkStart w:id="118" w:name="_Toc4802"/>
      <w:bookmarkStart w:id="119" w:name="_Toc32389"/>
      <w:bookmarkStart w:id="120" w:name="_Toc19878"/>
      <w:bookmarkStart w:id="121" w:name="_Toc26017"/>
      <w:bookmarkStart w:id="122" w:name="_Toc30894"/>
      <w:bookmarkStart w:id="123" w:name="_Toc256000020"/>
      <w:r>
        <w:rPr>
          <w:rFonts w:hint="eastAsia"/>
        </w:rPr>
        <w:t>1.1 资格审查的主体</w:t>
      </w:r>
      <w:bookmarkEnd w:id="123"/>
      <w:bookmarkEnd w:id="118"/>
      <w:bookmarkEnd w:id="119"/>
      <w:bookmarkEnd w:id="120"/>
      <w:bookmarkEnd w:id="121"/>
      <w:bookmarkEnd w:id="122"/>
    </w:p>
    <w:p>
      <w:pPr>
        <w:spacing w:line="400" w:lineRule="exact"/>
        <w:ind w:firstLine="420" w:firstLineChars="200"/>
      </w:pPr>
      <w:r>
        <w:rPr>
          <w:rFonts w:hint="eastAsia"/>
        </w:rPr>
        <w:t>公开招标采购项目开标结束后，采购代理机构依法组织对投标人的资格进行审查。</w:t>
      </w:r>
    </w:p>
    <w:p>
      <w:pPr>
        <w:pStyle w:val="Heading3"/>
        <w:spacing w:line="400" w:lineRule="exact"/>
      </w:pPr>
      <w:bookmarkStart w:id="124" w:name="_Toc3402"/>
      <w:bookmarkStart w:id="125" w:name="_Toc30058"/>
      <w:bookmarkStart w:id="126" w:name="_Toc15304"/>
      <w:bookmarkStart w:id="127" w:name="_Toc27325"/>
      <w:bookmarkStart w:id="128" w:name="_Toc23331"/>
      <w:bookmarkStart w:id="129" w:name="_Toc256000021"/>
      <w:r>
        <w:rPr>
          <w:rFonts w:hint="eastAsia"/>
        </w:rPr>
        <w:t>1.2资格性审查</w:t>
      </w:r>
      <w:bookmarkEnd w:id="129"/>
      <w:bookmarkEnd w:id="124"/>
      <w:bookmarkEnd w:id="125"/>
      <w:bookmarkEnd w:id="126"/>
      <w:bookmarkEnd w:id="127"/>
      <w:bookmarkEnd w:id="128"/>
    </w:p>
    <w:p>
      <w:pPr>
        <w:spacing w:line="400" w:lineRule="exact"/>
        <w:ind w:firstLine="359" w:firstLineChars="171"/>
      </w:pPr>
      <w:r>
        <w:rPr>
          <w:rFonts w:eastAsia="宋体" w:hint="eastAsia"/>
        </w:rPr>
        <w:t>1.2.1资格审查内容见</w:t>
      </w:r>
      <w:r>
        <w:rPr>
          <w:rFonts w:eastAsia="黑体" w:hint="eastAsia"/>
        </w:rPr>
        <w:t>资格性审查表</w:t>
      </w:r>
      <w:r>
        <w:rPr>
          <w:rFonts w:hint="eastAsia"/>
        </w:rPr>
        <w:t>。资格性审查表中任意一项内容不符合的，投标无效。</w:t>
      </w:r>
    </w:p>
    <w:p>
      <w:pPr>
        <w:spacing w:line="400" w:lineRule="exact"/>
        <w:ind w:firstLine="359" w:firstLineChars="171"/>
      </w:pPr>
      <w:r>
        <w:rPr>
          <w:rFonts w:hint="eastAsia"/>
        </w:rPr>
        <w:t>1.2.2资格审查时，被列入失信被执行人、重大税收违法案件当事人名单的供应商，以及列入政府采购严重违法失信行为记录名单且处于处罚决定规定的时间和地域范围内的投标人，属于未实质响应招标文件投标人资格要求，投标无效。两个以上的自然人、法人或者其他组织组成一个联合体，以一个供应商的身份共同参加投标的，对所有联合体成员进行信用记录查询，联合体成员存在不良信用记录的，视同联合体存在不良信用记录。</w:t>
      </w:r>
    </w:p>
    <w:p>
      <w:pPr>
        <w:pStyle w:val="Heading3"/>
        <w:spacing w:line="400" w:lineRule="exact"/>
      </w:pPr>
      <w:bookmarkStart w:id="130" w:name="_Toc11386"/>
      <w:bookmarkStart w:id="131" w:name="_Toc5407"/>
      <w:bookmarkStart w:id="132" w:name="_Toc25367"/>
      <w:bookmarkStart w:id="133" w:name="_Toc27850"/>
      <w:bookmarkStart w:id="134" w:name="_Toc8357"/>
      <w:bookmarkStart w:id="135" w:name="_Toc256000022"/>
      <w:r>
        <w:rPr>
          <w:rFonts w:hint="eastAsia"/>
        </w:rPr>
        <w:t>1.3合格投标人数量</w:t>
      </w:r>
      <w:bookmarkEnd w:id="135"/>
      <w:bookmarkEnd w:id="130"/>
      <w:bookmarkEnd w:id="131"/>
      <w:bookmarkEnd w:id="132"/>
      <w:bookmarkEnd w:id="133"/>
      <w:bookmarkEnd w:id="134"/>
    </w:p>
    <w:p>
      <w:pPr>
        <w:spacing w:line="400" w:lineRule="exact"/>
        <w:ind w:firstLine="420" w:firstLineChars="200"/>
      </w:pPr>
      <w:r>
        <w:rPr>
          <w:rFonts w:hint="eastAsia"/>
        </w:rPr>
        <w:t>通过资格审查的合格投标人不足3家的，不得评标。</w:t>
      </w:r>
    </w:p>
    <w:p>
      <w:pPr>
        <w:pStyle w:val="Heading2"/>
        <w:spacing w:line="400" w:lineRule="exact"/>
      </w:pPr>
      <w:bookmarkStart w:id="136" w:name="_Toc30357"/>
      <w:bookmarkStart w:id="137" w:name="_Toc3538"/>
      <w:bookmarkStart w:id="138" w:name="_Toc900"/>
      <w:bookmarkStart w:id="139" w:name="_Toc3457"/>
      <w:bookmarkStart w:id="140" w:name="_Toc3342"/>
      <w:bookmarkStart w:id="141" w:name="_Toc256000023"/>
      <w:r>
        <w:rPr>
          <w:rFonts w:hint="eastAsia"/>
        </w:rPr>
        <w:t>2. 符合性审查</w:t>
      </w:r>
      <w:bookmarkEnd w:id="141"/>
      <w:bookmarkEnd w:id="136"/>
      <w:bookmarkEnd w:id="137"/>
      <w:bookmarkEnd w:id="138"/>
      <w:bookmarkEnd w:id="139"/>
      <w:bookmarkEnd w:id="140"/>
    </w:p>
    <w:p>
      <w:pPr>
        <w:pStyle w:val="Heading3"/>
        <w:spacing w:line="400" w:lineRule="exact"/>
      </w:pPr>
      <w:bookmarkStart w:id="142" w:name="_Toc16316"/>
      <w:bookmarkStart w:id="143" w:name="_Toc600"/>
      <w:bookmarkStart w:id="144" w:name="_Toc19595"/>
      <w:bookmarkStart w:id="145" w:name="_Toc26969"/>
      <w:bookmarkStart w:id="146" w:name="_Toc21584"/>
      <w:bookmarkStart w:id="147" w:name="_Toc256000024"/>
      <w:r>
        <w:rPr>
          <w:rFonts w:hint="eastAsia"/>
        </w:rPr>
        <w:t>2.1符合性审查的原则</w:t>
      </w:r>
      <w:bookmarkEnd w:id="147"/>
      <w:bookmarkEnd w:id="142"/>
      <w:bookmarkEnd w:id="143"/>
      <w:bookmarkEnd w:id="144"/>
      <w:bookmarkEnd w:id="145"/>
      <w:bookmarkEnd w:id="146"/>
    </w:p>
    <w:p>
      <w:pPr>
        <w:spacing w:line="400" w:lineRule="exact"/>
        <w:ind w:firstLine="420" w:firstLineChars="200"/>
      </w:pPr>
      <w:r>
        <w:rPr>
          <w:rFonts w:hint="eastAsia"/>
        </w:rPr>
        <w:t>2.1.1评标委员会对符合资格的投标人的投标文件进行符合性审查，以确定其是否满足招标文件的实质性要求。</w:t>
      </w:r>
    </w:p>
    <w:p>
      <w:pPr>
        <w:spacing w:line="400" w:lineRule="exact"/>
        <w:ind w:firstLine="420" w:firstLineChars="200"/>
      </w:pPr>
      <w:r>
        <w:rPr>
          <w:rFonts w:hint="eastAsia"/>
        </w:rPr>
        <w:t>2.1.2评标委员会将审查投标文件是否完整、有无计算上的错误，总体编排是否有序、文件签署是否合格、投标人是否提交了投标保证金等。</w:t>
      </w:r>
    </w:p>
    <w:p>
      <w:pPr>
        <w:spacing w:line="400" w:lineRule="exact"/>
        <w:ind w:firstLine="420" w:firstLineChars="200"/>
      </w:pPr>
      <w:r>
        <w:rPr>
          <w:rFonts w:hint="eastAsia"/>
        </w:rPr>
        <w:t>2.1.3评标委员会将审查每份投标文件是否实质上响应了招标文件的要求。实质上响应的投标应该是与招标文件要求的实质性条款、条件和规格相符，没有重大偏离或保留的投标。所谓重大偏离或保留是指实质上影响合同的供货范围、质量和性能；或者实质上与招标文件不一致，而且限制了合同中买方的权利或卖方的义务。纠正这些偏离或保留将会对其他实质上响应要求的投标人的竞争地位产生不公正的影响。评标委员会决定投标文件的响应性只根据投标文件本身的内容，而不寻求外部的证据。</w:t>
      </w:r>
    </w:p>
    <w:p>
      <w:pPr>
        <w:spacing w:line="400" w:lineRule="exact"/>
        <w:ind w:firstLine="420" w:firstLineChars="200"/>
      </w:pPr>
      <w:r>
        <w:rPr>
          <w:rFonts w:hint="eastAsia"/>
        </w:rPr>
        <w:t>2.1.4如果投标文件实质上没有响应招标文件要求，其投标按无效投标处理。投标人不得通过修正或撤销不合要求的偏离或保留从而使其投标成为实质上响应的投标。</w:t>
      </w:r>
    </w:p>
    <w:p>
      <w:pPr>
        <w:pStyle w:val="Heading3"/>
        <w:spacing w:line="400" w:lineRule="exact"/>
      </w:pPr>
      <w:bookmarkStart w:id="148" w:name="_Toc15822"/>
      <w:bookmarkStart w:id="149" w:name="_Toc1779"/>
      <w:bookmarkStart w:id="150" w:name="_Toc22632"/>
      <w:bookmarkStart w:id="151" w:name="_Toc29829"/>
      <w:bookmarkStart w:id="152" w:name="_Toc25091"/>
      <w:bookmarkStart w:id="153" w:name="_Toc256000025"/>
      <w:r>
        <w:rPr>
          <w:rFonts w:hint="eastAsia"/>
        </w:rPr>
        <w:t>2.2澄清</w:t>
      </w:r>
      <w:r>
        <w:rPr>
          <w:rFonts w:eastAsia="宋体"/>
        </w:rPr>
        <w:t>、说明或者补正</w:t>
      </w:r>
      <w:bookmarkEnd w:id="153"/>
      <w:bookmarkEnd w:id="148"/>
      <w:bookmarkEnd w:id="149"/>
      <w:bookmarkEnd w:id="150"/>
      <w:bookmarkEnd w:id="151"/>
      <w:bookmarkEnd w:id="152"/>
    </w:p>
    <w:p>
      <w:pPr>
        <w:spacing w:line="400" w:lineRule="exact"/>
        <w:ind w:firstLine="359" w:firstLineChars="171"/>
        <w:rPr>
          <w:rFonts w:eastAsia="宋体"/>
        </w:rPr>
      </w:pPr>
      <w:r>
        <w:rPr>
          <w:rFonts w:eastAsia="宋体" w:hint="eastAsia"/>
        </w:rPr>
        <w:t>2.2.1</w:t>
      </w:r>
      <w:r>
        <w:rPr>
          <w:rFonts w:eastAsia="宋体"/>
        </w:rPr>
        <w:t>对于投标文件中含义不明确、同类问题表述不一致或者有明显文字和计算错误的内容，评标委员会以书面形式要求投标人作出必要的澄清、说明或者补正。</w:t>
      </w:r>
    </w:p>
    <w:p>
      <w:pPr>
        <w:spacing w:line="400" w:lineRule="exact"/>
        <w:ind w:firstLine="359" w:firstLineChars="171"/>
        <w:rPr>
          <w:rFonts w:eastAsia="宋体"/>
        </w:rPr>
      </w:pPr>
      <w:r>
        <w:rPr>
          <w:rFonts w:eastAsia="宋体" w:hint="eastAsia"/>
        </w:rPr>
        <w:t>2.2.2</w:t>
      </w:r>
      <w:r>
        <w:rPr>
          <w:rFonts w:eastAsia="宋体"/>
        </w:rPr>
        <w:t>投标人的澄清、说明或者补正应当采用书面形式，并加盖公章，或者由</w:t>
      </w:r>
      <w:r>
        <w:rPr>
          <w:color w:val="5F497A"/>
        </w:rPr>
        <w:t>法定代表人（单位负责人）</w:t>
      </w:r>
      <w:r>
        <w:rPr>
          <w:rFonts w:eastAsia="宋体"/>
        </w:rPr>
        <w:t>或其</w:t>
      </w:r>
      <w:r>
        <w:rPr>
          <w:rFonts w:eastAsia="宋体" w:hint="eastAsia"/>
        </w:rPr>
        <w:t>授权的代表签字。投标人的澄清、说明或者补正不得超出投标文件的范围或者改变投标文件的实质性内容。</w:t>
      </w:r>
    </w:p>
    <w:p>
      <w:pPr>
        <w:pStyle w:val="Heading3"/>
        <w:spacing w:line="400" w:lineRule="exact"/>
      </w:pPr>
      <w:bookmarkStart w:id="154" w:name="_Toc3544"/>
      <w:bookmarkStart w:id="155" w:name="_Toc676"/>
      <w:bookmarkStart w:id="156" w:name="_Toc4893"/>
      <w:bookmarkStart w:id="157" w:name="_Toc3618"/>
      <w:bookmarkStart w:id="158" w:name="_Toc3624"/>
      <w:bookmarkStart w:id="159" w:name="_Toc256000026"/>
      <w:r>
        <w:rPr>
          <w:rFonts w:hint="eastAsia"/>
        </w:rPr>
        <w:t>2.3投标报价</w:t>
      </w:r>
      <w:r>
        <w:rPr>
          <w:rFonts w:eastAsia="宋体" w:hint="eastAsia"/>
        </w:rPr>
        <w:t>前后不一致</w:t>
      </w:r>
      <w:r>
        <w:rPr>
          <w:rFonts w:hint="eastAsia"/>
        </w:rPr>
        <w:t>的修正</w:t>
      </w:r>
      <w:bookmarkEnd w:id="159"/>
      <w:bookmarkEnd w:id="154"/>
      <w:bookmarkEnd w:id="155"/>
      <w:bookmarkEnd w:id="156"/>
      <w:bookmarkEnd w:id="157"/>
      <w:bookmarkEnd w:id="158"/>
    </w:p>
    <w:p>
      <w:pPr>
        <w:spacing w:line="400" w:lineRule="exact"/>
        <w:ind w:firstLine="420" w:firstLineChars="200"/>
        <w:rPr>
          <w:rFonts w:eastAsia="宋体"/>
        </w:rPr>
      </w:pPr>
      <w:r>
        <w:rPr>
          <w:rFonts w:eastAsia="宋体" w:hint="eastAsia"/>
        </w:rPr>
        <w:t>2.3.1投标文件报价出现前后不一致的，按照下列规定修正：</w:t>
      </w:r>
    </w:p>
    <w:p>
      <w:pPr>
        <w:spacing w:line="400" w:lineRule="exact"/>
        <w:ind w:firstLine="420" w:firstLineChars="200"/>
        <w:rPr>
          <w:rFonts w:eastAsia="宋体"/>
        </w:rPr>
      </w:pPr>
      <w:r>
        <w:rPr>
          <w:rFonts w:eastAsia="宋体" w:hint="eastAsia"/>
        </w:rPr>
        <w:t>（一）投标文件中开标一览表内容与投标文件中相应内容不一致的，以开标一览表为准；</w:t>
      </w:r>
    </w:p>
    <w:p>
      <w:pPr>
        <w:spacing w:line="400" w:lineRule="exact"/>
        <w:ind w:firstLine="420" w:firstLineChars="200"/>
        <w:rPr>
          <w:rFonts w:eastAsia="宋体"/>
        </w:rPr>
      </w:pPr>
      <w:r>
        <w:rPr>
          <w:rFonts w:eastAsia="宋体" w:hint="eastAsia"/>
        </w:rPr>
        <w:t>（二）大写金额和小写金额不一致的，以大写金额为准；</w:t>
      </w:r>
    </w:p>
    <w:p>
      <w:pPr>
        <w:spacing w:line="400" w:lineRule="exact"/>
        <w:ind w:firstLine="420" w:firstLineChars="200"/>
        <w:rPr>
          <w:rFonts w:eastAsia="宋体"/>
        </w:rPr>
      </w:pPr>
      <w:r>
        <w:rPr>
          <w:rFonts w:eastAsia="宋体" w:hint="eastAsia"/>
        </w:rPr>
        <w:t>（三）单价金额小数点或者百分比有明显错位的，以开标一览表的总价为准，并修改单价；</w:t>
      </w:r>
    </w:p>
    <w:p>
      <w:pPr>
        <w:spacing w:line="400" w:lineRule="exact"/>
        <w:ind w:firstLine="420" w:firstLineChars="200"/>
        <w:rPr>
          <w:rFonts w:eastAsia="宋体"/>
        </w:rPr>
      </w:pPr>
      <w:r>
        <w:rPr>
          <w:rFonts w:eastAsia="宋体" w:hint="eastAsia"/>
        </w:rPr>
        <w:t>（四）总价金额与按单价汇总金额不一致的，以单价金额计算结果为准。</w:t>
      </w:r>
    </w:p>
    <w:p>
      <w:pPr>
        <w:spacing w:line="400" w:lineRule="exact"/>
        <w:ind w:firstLine="420" w:firstLineChars="200"/>
        <w:rPr>
          <w:rFonts w:eastAsia="宋体"/>
        </w:rPr>
      </w:pPr>
      <w:r>
        <w:rPr>
          <w:rFonts w:eastAsia="宋体" w:hint="eastAsia"/>
        </w:rPr>
        <w:t>2.3.2同时出现两种以上不一致的，按照</w:t>
      </w:r>
      <w:r>
        <w:rPr>
          <w:rFonts w:hint="eastAsia"/>
        </w:rPr>
        <w:t>上述</w:t>
      </w:r>
      <w:r>
        <w:rPr>
          <w:rFonts w:eastAsia="宋体" w:hint="eastAsia"/>
        </w:rPr>
        <w:t>顺序修正。修正后的报价经投标人确认后产生约束力，投标人不确认的，其投标无效。</w:t>
      </w:r>
    </w:p>
    <w:p>
      <w:pPr>
        <w:pStyle w:val="Heading3"/>
        <w:spacing w:line="400" w:lineRule="exact"/>
        <w:rPr>
          <w:rFonts w:eastAsia="宋体"/>
        </w:rPr>
      </w:pPr>
      <w:bookmarkStart w:id="160" w:name="_Toc30577"/>
      <w:bookmarkStart w:id="161" w:name="_Toc18175"/>
      <w:bookmarkStart w:id="162" w:name="_Toc9620"/>
      <w:bookmarkStart w:id="163" w:name="_Toc31329"/>
      <w:bookmarkStart w:id="164" w:name="_Toc25306"/>
      <w:bookmarkStart w:id="165" w:name="_Toc256000027"/>
      <w:r>
        <w:rPr>
          <w:rFonts w:hint="eastAsia"/>
        </w:rPr>
        <w:t>2.4投标报价缺漏项的修正</w:t>
      </w:r>
      <w:bookmarkEnd w:id="165"/>
      <w:bookmarkEnd w:id="160"/>
      <w:bookmarkEnd w:id="161"/>
      <w:bookmarkEnd w:id="162"/>
      <w:bookmarkEnd w:id="163"/>
      <w:bookmarkEnd w:id="164"/>
    </w:p>
    <w:p>
      <w:pPr>
        <w:numPr>
          <w:ilvl w:val="0"/>
          <w:numId w:val="0"/>
        </w:numPr>
        <w:spacing w:line="400" w:lineRule="exact"/>
        <w:ind w:firstLine="420" w:firstLineChars="200"/>
      </w:pPr>
      <w:r>
        <w:rPr>
          <w:rFonts w:hint="eastAsia"/>
        </w:rPr>
        <w:t>投标报价缺漏项将按以下方法修正：</w:t>
      </w:r>
    </w:p>
    <w:p>
      <w:pPr>
        <w:numPr>
          <w:ilvl w:val="0"/>
          <w:numId w:val="0"/>
        </w:numPr>
        <w:spacing w:line="400" w:lineRule="exact"/>
        <w:ind w:firstLine="420" w:firstLineChars="200"/>
      </w:pPr>
      <w:r>
        <w:rPr>
          <w:rFonts w:hint="eastAsia"/>
        </w:rPr>
        <w:t>2.4.1以除该投标人之外的，所有有效投标中缺漏项内容最高报价为基数计算缺漏项金额，金额大于或等于该投标人投标总价的1%时，视为严重投标缺漏项，该投标无效。</w:t>
      </w:r>
    </w:p>
    <w:p>
      <w:pPr>
        <w:numPr>
          <w:ilvl w:val="0"/>
          <w:numId w:val="0"/>
        </w:numPr>
        <w:spacing w:line="400" w:lineRule="exact"/>
        <w:ind w:firstLine="420" w:firstLineChars="200"/>
      </w:pPr>
      <w:r>
        <w:rPr>
          <w:rFonts w:hint="eastAsia"/>
        </w:rPr>
        <w:t>2.4.2缺漏项金额小于该投标人投标总价的1%时：</w:t>
      </w:r>
    </w:p>
    <w:p>
      <w:pPr>
        <w:numPr>
          <w:ilvl w:val="0"/>
          <w:numId w:val="0"/>
        </w:numPr>
        <w:spacing w:line="400" w:lineRule="exact"/>
        <w:ind w:firstLine="420" w:firstLineChars="200"/>
      </w:pPr>
      <w:r>
        <w:rPr>
          <w:rFonts w:hint="eastAsia"/>
        </w:rPr>
        <w:t>评标时，该投标人评标价按如下方法计算：</w:t>
      </w:r>
    </w:p>
    <w:p>
      <w:pPr>
        <w:numPr>
          <w:ilvl w:val="0"/>
          <w:numId w:val="0"/>
        </w:numPr>
        <w:spacing w:line="400" w:lineRule="exact"/>
        <w:ind w:firstLine="420" w:firstLineChars="200"/>
      </w:pPr>
      <w:r>
        <w:rPr>
          <w:rFonts w:hint="eastAsia"/>
        </w:rPr>
        <w:t>评标价=该投标人投标价+所有有效投标中缺漏项内容最高报价</w:t>
      </w:r>
    </w:p>
    <w:p>
      <w:pPr>
        <w:numPr>
          <w:ilvl w:val="0"/>
          <w:numId w:val="0"/>
        </w:numPr>
        <w:spacing w:line="400" w:lineRule="exact"/>
        <w:ind w:firstLine="420" w:firstLineChars="200"/>
      </w:pPr>
      <w:r>
        <w:rPr>
          <w:rFonts w:hint="eastAsia"/>
        </w:rPr>
        <w:t>以修正过的评标价作为其价格分计算基础。</w:t>
      </w:r>
    </w:p>
    <w:p>
      <w:pPr>
        <w:numPr>
          <w:ilvl w:val="0"/>
          <w:numId w:val="0"/>
        </w:numPr>
        <w:spacing w:line="400" w:lineRule="exact"/>
        <w:ind w:firstLine="420" w:firstLineChars="200"/>
      </w:pPr>
      <w:r>
        <w:rPr>
          <w:rFonts w:hint="eastAsia"/>
        </w:rPr>
        <w:t>若该供应商中标，合同价格按其投标价格，视为其投标总价已包括缺漏项内容，不得增加。如果投标人不接受以上修正方法，投标无效。</w:t>
      </w:r>
    </w:p>
    <w:p>
      <w:pPr>
        <w:numPr>
          <w:ilvl w:val="0"/>
          <w:numId w:val="0"/>
        </w:numPr>
        <w:spacing w:line="400" w:lineRule="exact"/>
        <w:ind w:firstLine="420" w:firstLineChars="200"/>
        <w:rPr>
          <w:highlight w:val="yellow"/>
        </w:rPr>
      </w:pPr>
      <w:r>
        <w:rPr>
          <w:rFonts w:hint="eastAsia"/>
        </w:rPr>
        <w:t>2.4.3缺漏项修正后，如该投标人符合政府采购政策的，不影响其享受评审中价格扣除。</w:t>
      </w:r>
    </w:p>
    <w:p>
      <w:pPr>
        <w:pStyle w:val="Heading3"/>
        <w:spacing w:line="400" w:lineRule="exact"/>
        <w:rPr>
          <w:rFonts w:eastAsia="宋体"/>
        </w:rPr>
      </w:pPr>
      <w:bookmarkStart w:id="166" w:name="_Toc25934"/>
      <w:bookmarkStart w:id="167" w:name="_Toc4142"/>
      <w:bookmarkStart w:id="168" w:name="_Toc30329"/>
      <w:bookmarkStart w:id="169" w:name="_Toc28185"/>
      <w:bookmarkStart w:id="170" w:name="_Toc27061"/>
      <w:bookmarkStart w:id="171" w:name="_Toc256000028"/>
      <w:r>
        <w:rPr>
          <w:rFonts w:hint="eastAsia"/>
        </w:rPr>
        <w:t>2.5异常低价</w:t>
      </w:r>
      <w:bookmarkEnd w:id="171"/>
      <w:bookmarkEnd w:id="166"/>
      <w:bookmarkEnd w:id="167"/>
      <w:bookmarkEnd w:id="168"/>
      <w:bookmarkEnd w:id="169"/>
      <w:bookmarkEnd w:id="170"/>
    </w:p>
    <w:p>
      <w:pPr>
        <w:spacing w:line="400" w:lineRule="exact"/>
        <w:ind w:firstLine="420" w:firstLineChars="200"/>
        <w:rPr>
          <w:rFonts w:hint="eastAsia"/>
        </w:rPr>
      </w:pPr>
      <w:r>
        <w:rPr>
          <w:rFonts w:hint="eastAsia"/>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spacing w:line="400" w:lineRule="exact"/>
        <w:ind w:firstLine="420" w:firstLineChars="200"/>
        <w:rPr>
          <w:rFonts w:hint="eastAsia"/>
        </w:rPr>
      </w:pPr>
      <w:r>
        <w:rPr>
          <w:rFonts w:hint="eastAsia"/>
        </w:rPr>
        <w:t>评审中出现下列情形之一的，且供应商在评审现场合理的时间内无法提供书面说明及成本构成，或者提供的书面说明及成本构成不能证明其报价合理性的；</w:t>
      </w:r>
    </w:p>
    <w:p>
      <w:pPr>
        <w:spacing w:line="400" w:lineRule="exact"/>
        <w:ind w:firstLine="420" w:firstLineChars="200"/>
        <w:rPr>
          <w:rFonts w:hint="eastAsia"/>
        </w:rPr>
      </w:pPr>
      <w:r>
        <w:rPr>
          <w:rFonts w:hint="eastAsia"/>
        </w:rPr>
        <w:t>一、投标（响应）报价低于全部通过符合性审查供应商投标（响应）报价平均值</w:t>
      </w:r>
      <w:r>
        <w:rPr>
          <w:rFonts w:hint="eastAsia"/>
          <w:lang w:val="en-US" w:eastAsia="zh-CN"/>
        </w:rPr>
        <w:t>65</w:t>
      </w:r>
      <w:r>
        <w:rPr>
          <w:rFonts w:hint="eastAsia"/>
        </w:rPr>
        <w:t>%的，即投标（响应）报价&lt;全部通过符合性审查供应商投标（响应）报价平均值×</w:t>
      </w:r>
      <w:r>
        <w:rPr>
          <w:rFonts w:hint="eastAsia"/>
          <w:lang w:val="en-US" w:eastAsia="zh-CN"/>
        </w:rPr>
        <w:t>65</w:t>
      </w:r>
      <w:r>
        <w:rPr>
          <w:rFonts w:hint="eastAsia"/>
        </w:rPr>
        <w:t>%；</w:t>
      </w:r>
    </w:p>
    <w:p>
      <w:pPr>
        <w:spacing w:line="400" w:lineRule="exact"/>
        <w:ind w:firstLine="420" w:firstLineChars="200"/>
        <w:rPr>
          <w:rFonts w:hint="eastAsia"/>
        </w:rPr>
      </w:pPr>
      <w:r>
        <w:rPr>
          <w:rFonts w:hint="eastAsia"/>
        </w:rPr>
        <w:t>二、投标（响应）报价低于通过符合性审查且报价次低供应商投标（响应）报价</w:t>
      </w:r>
      <w:r>
        <w:rPr>
          <w:rFonts w:hint="eastAsia"/>
          <w:lang w:val="en-US" w:eastAsia="zh-CN"/>
        </w:rPr>
        <w:t>65</w:t>
      </w:r>
      <w:r>
        <w:rPr>
          <w:rFonts w:hint="eastAsia"/>
        </w:rPr>
        <w:t>%的，即投标（响应）报价&lt;通过符合性审查且报价次低供应商投标（响应）报价×</w:t>
      </w:r>
      <w:r>
        <w:rPr>
          <w:rFonts w:hint="eastAsia"/>
          <w:lang w:val="en-US" w:eastAsia="zh-CN"/>
        </w:rPr>
        <w:t>65</w:t>
      </w:r>
      <w:r>
        <w:rPr>
          <w:rFonts w:hint="eastAsia"/>
        </w:rPr>
        <w:t>%；</w:t>
      </w:r>
    </w:p>
    <w:p>
      <w:pPr>
        <w:spacing w:line="400" w:lineRule="exact"/>
        <w:ind w:firstLine="420" w:firstLineChars="200"/>
        <w:rPr>
          <w:rFonts w:hint="eastAsia"/>
        </w:rPr>
      </w:pPr>
      <w:r>
        <w:rPr>
          <w:rFonts w:hint="eastAsia"/>
        </w:rPr>
        <w:t>三、投标（响应）报价低于采购项目最高限价</w:t>
      </w:r>
      <w:r>
        <w:rPr>
          <w:rFonts w:hint="eastAsia"/>
          <w:lang w:val="en-US" w:eastAsia="zh-CN"/>
        </w:rPr>
        <w:t>65</w:t>
      </w:r>
      <w:r>
        <w:rPr>
          <w:rFonts w:hint="eastAsia"/>
        </w:rPr>
        <w:t>%的，即投标（响应）报价&lt;采购项目最高限价×</w:t>
      </w:r>
      <w:r>
        <w:rPr>
          <w:rFonts w:hint="eastAsia"/>
          <w:lang w:val="en-US" w:eastAsia="zh-CN"/>
        </w:rPr>
        <w:t>65</w:t>
      </w:r>
      <w:r>
        <w:rPr>
          <w:rFonts w:hint="eastAsia"/>
        </w:rPr>
        <w:t>%；</w:t>
      </w:r>
    </w:p>
    <w:p>
      <w:pPr>
        <w:spacing w:line="400" w:lineRule="exact"/>
        <w:ind w:firstLine="420" w:firstLineChars="200"/>
      </w:pPr>
      <w:r>
        <w:rPr>
          <w:rFonts w:hint="eastAsia"/>
        </w:rPr>
        <w:t>四、其他评审委员会认为供应商报价过低，有可能影响产品质量或者不能诚信履约的情形。</w:t>
      </w:r>
    </w:p>
    <w:p>
      <w:pPr>
        <w:pStyle w:val="Heading3"/>
        <w:spacing w:line="400" w:lineRule="exact"/>
      </w:pPr>
      <w:bookmarkStart w:id="172" w:name="_Toc15903"/>
      <w:bookmarkStart w:id="173" w:name="_Toc962"/>
      <w:bookmarkStart w:id="174" w:name="_Toc30397"/>
      <w:bookmarkStart w:id="175" w:name="_Toc3305"/>
      <w:bookmarkStart w:id="176" w:name="_Toc31131"/>
      <w:bookmarkStart w:id="177" w:name="_Toc256000029"/>
      <w:r>
        <w:rPr>
          <w:rFonts w:hint="eastAsia"/>
        </w:rPr>
        <w:t>2.6以下情形将导致投标无效</w:t>
      </w:r>
      <w:bookmarkEnd w:id="177"/>
      <w:bookmarkEnd w:id="172"/>
      <w:bookmarkEnd w:id="173"/>
      <w:bookmarkEnd w:id="174"/>
      <w:bookmarkEnd w:id="175"/>
      <w:bookmarkEnd w:id="176"/>
    </w:p>
    <w:p>
      <w:pPr>
        <w:spacing w:line="400" w:lineRule="exact"/>
        <w:ind w:firstLine="420" w:firstLineChars="200"/>
      </w:pPr>
      <w:r>
        <w:rPr>
          <w:rFonts w:hint="eastAsia"/>
          <w:lang w:val="en-US" w:eastAsia="zh-CN"/>
        </w:rPr>
        <w:t>详见符合性审查</w:t>
      </w:r>
      <w:r>
        <w:rPr>
          <w:rFonts w:hint="eastAsia"/>
        </w:rPr>
        <w:t>。</w:t>
      </w:r>
    </w:p>
    <w:p>
      <w:pPr>
        <w:pStyle w:val="Heading3"/>
        <w:spacing w:line="400" w:lineRule="exact"/>
      </w:pPr>
      <w:bookmarkStart w:id="178" w:name="_Toc22452"/>
      <w:bookmarkStart w:id="179" w:name="_Toc6288"/>
      <w:bookmarkStart w:id="180" w:name="_Toc16856"/>
      <w:bookmarkStart w:id="181" w:name="_Toc24025"/>
      <w:bookmarkStart w:id="182" w:name="_Toc23711"/>
      <w:bookmarkStart w:id="183" w:name="_Toc256000030"/>
      <w:r>
        <w:rPr>
          <w:rFonts w:hint="eastAsia"/>
        </w:rPr>
        <w:t>2.7符合性审查</w:t>
      </w:r>
      <w:bookmarkEnd w:id="183"/>
      <w:bookmarkEnd w:id="178"/>
      <w:bookmarkEnd w:id="179"/>
      <w:bookmarkEnd w:id="180"/>
      <w:bookmarkEnd w:id="181"/>
      <w:bookmarkEnd w:id="182"/>
    </w:p>
    <w:p>
      <w:pPr>
        <w:spacing w:line="400" w:lineRule="exact"/>
        <w:ind w:firstLine="420"/>
        <w:rPr>
          <w:rFonts w:eastAsia="宋体"/>
        </w:rPr>
      </w:pPr>
      <w:r>
        <w:rPr>
          <w:rFonts w:hint="eastAsia"/>
        </w:rPr>
        <w:t>符合性审查内容见</w:t>
      </w:r>
      <w:r>
        <w:rPr>
          <w:rFonts w:eastAsia="黑体" w:hint="eastAsia"/>
        </w:rPr>
        <w:t>符合性审查表</w:t>
      </w:r>
      <w:r>
        <w:rPr>
          <w:rFonts w:hint="eastAsia"/>
        </w:rPr>
        <w:t>。符合性审查表中任意一项内容不符合的，投标无效。</w:t>
      </w:r>
    </w:p>
    <w:p>
      <w:pPr>
        <w:pStyle w:val="Heading2"/>
        <w:spacing w:line="400" w:lineRule="exact"/>
      </w:pPr>
      <w:bookmarkStart w:id="184" w:name="_Toc32125"/>
      <w:bookmarkStart w:id="185" w:name="_Toc3674"/>
      <w:bookmarkStart w:id="186" w:name="_Toc4108"/>
      <w:bookmarkStart w:id="187" w:name="_Toc27130"/>
      <w:bookmarkStart w:id="188" w:name="_Toc18842"/>
      <w:bookmarkStart w:id="189" w:name="_Toc256000031"/>
      <w:r>
        <w:rPr>
          <w:rFonts w:hint="eastAsia"/>
        </w:rPr>
        <w:t>3. 比较与评价</w:t>
      </w:r>
      <w:bookmarkEnd w:id="189"/>
      <w:bookmarkEnd w:id="184"/>
      <w:bookmarkEnd w:id="185"/>
      <w:bookmarkEnd w:id="186"/>
      <w:bookmarkEnd w:id="187"/>
      <w:bookmarkEnd w:id="188"/>
    </w:p>
    <w:p>
      <w:pPr>
        <w:pStyle w:val="Heading3"/>
        <w:spacing w:line="400" w:lineRule="exact"/>
        <w:rPr>
          <w:rFonts w:eastAsia="宋体"/>
        </w:rPr>
      </w:pPr>
      <w:bookmarkStart w:id="190" w:name="_Toc20935"/>
      <w:bookmarkStart w:id="191" w:name="_Toc8284"/>
      <w:bookmarkStart w:id="192" w:name="_Toc8756"/>
      <w:bookmarkStart w:id="193" w:name="_Toc20673"/>
      <w:bookmarkStart w:id="194" w:name="_Toc8658"/>
      <w:bookmarkStart w:id="195" w:name="_Toc256000032"/>
      <w:r>
        <w:rPr>
          <w:rFonts w:hint="eastAsia"/>
        </w:rPr>
        <w:t>3.1评审依据</w:t>
      </w:r>
      <w:bookmarkEnd w:id="195"/>
      <w:bookmarkEnd w:id="190"/>
      <w:bookmarkEnd w:id="191"/>
      <w:bookmarkEnd w:id="192"/>
      <w:bookmarkEnd w:id="193"/>
      <w:bookmarkEnd w:id="194"/>
    </w:p>
    <w:p>
      <w:pPr>
        <w:spacing w:line="400" w:lineRule="exact"/>
        <w:ind w:firstLine="420" w:firstLineChars="200"/>
      </w:pPr>
      <w:r>
        <w:rPr>
          <w:rFonts w:hint="eastAsia"/>
        </w:rPr>
        <w:t>评标委员会按照招标文件中规定的评标方法和标准，对符合性审查合格的投标文件进行商务和技术评估，综合比较与评价，并推荐中标候选人。除法律法规另有规定外，招标文件没有规定的方法、评审因素和标准，不作为评标依据。</w:t>
      </w:r>
    </w:p>
    <w:p>
      <w:pPr>
        <w:pStyle w:val="Heading3"/>
        <w:spacing w:line="400" w:lineRule="exact"/>
      </w:pPr>
      <w:bookmarkStart w:id="196" w:name="_Toc27158"/>
      <w:bookmarkStart w:id="197" w:name="_Toc17345"/>
      <w:bookmarkStart w:id="198" w:name="_Toc728"/>
      <w:bookmarkStart w:id="199" w:name="_Toc8459"/>
      <w:bookmarkStart w:id="200" w:name="_Toc6776"/>
      <w:bookmarkStart w:id="201" w:name="_Toc256000033"/>
      <w:r>
        <w:rPr>
          <w:rFonts w:hint="eastAsia"/>
        </w:rPr>
        <w:t>3.2小型、微型企业评审中价格扣除</w:t>
      </w:r>
      <w:bookmarkEnd w:id="201"/>
      <w:bookmarkEnd w:id="196"/>
      <w:bookmarkEnd w:id="197"/>
      <w:bookmarkEnd w:id="198"/>
      <w:bookmarkEnd w:id="199"/>
      <w:bookmarkEnd w:id="200"/>
    </w:p>
    <w:p>
      <w:pPr>
        <w:spacing w:line="400" w:lineRule="exact"/>
        <w:ind w:firstLine="420" w:firstLineChars="200"/>
      </w:pPr>
      <w:r>
        <w:rPr>
          <w:rFonts w:hint="eastAsia"/>
        </w:rPr>
        <w:t>3.2.1小型、微型企业，是指在中华人民共和国境内依法设立，依据国务院批准的小微企业划分标准确定的小型企业和微型企业，但与大企业的负责人为同一人，或者与大企业存在直接控股、管理关系的除外。符合小型、微型企业划分标准的个体工商户，在政府采购活动中视同小型、微型企业。</w:t>
      </w:r>
    </w:p>
    <w:p>
      <w:pPr>
        <w:spacing w:line="400" w:lineRule="exact"/>
        <w:ind w:firstLine="420" w:firstLineChars="200"/>
      </w:pPr>
      <w:r>
        <w:rPr>
          <w:rFonts w:hint="eastAsia"/>
        </w:rPr>
        <w:t>3.2.2投标人所投产品为小型、微型企业生产（或投标人所提供服务为小型、微型企业承接）的，评标中将给予前附表（三）规定比例的价格扣除，用扣除后的价格参与评审，并计算价格分数。评标委员会根据投标人提供的《企业类型声明函》中的承诺，认定其是否属于小型和微型企业并享受小微企业优惠政策。投标人对其承诺的企业规模不真实的，采购代理机构依法报请主管部门给予处罚。</w:t>
      </w:r>
    </w:p>
    <w:p>
      <w:pPr>
        <w:spacing w:line="400" w:lineRule="exact"/>
        <w:ind w:firstLine="420" w:firstLineChars="200"/>
      </w:pPr>
      <w:r>
        <w:rPr>
          <w:rFonts w:hint="eastAsia"/>
        </w:rPr>
        <w:t>3.2.3享受价格扣除政策须同时满足以下条件：</w:t>
      </w:r>
    </w:p>
    <w:p>
      <w:pPr>
        <w:spacing w:line="400" w:lineRule="exact"/>
        <w:ind w:firstLine="420" w:firstLineChars="200"/>
      </w:pPr>
      <w:r>
        <w:rPr>
          <w:rFonts w:hint="eastAsia"/>
        </w:rPr>
        <w:t>（1）在货物采购项目中，货物由小型、微型企业制造，即货物由小型、微型企业生产且使用该小型、微型企业商号或者注册商标；在服务采购项目中，服务由小型、微型企业承接，即提供服务的人员为小型、微型企业依照《中华人民共和国劳动合同法》订立劳动合同的从业人员。</w:t>
      </w:r>
    </w:p>
    <w:p>
      <w:pPr>
        <w:spacing w:line="400" w:lineRule="exact"/>
        <w:ind w:firstLine="420" w:firstLineChars="200"/>
      </w:pPr>
      <w:r>
        <w:rPr>
          <w:rFonts w:hint="eastAsia"/>
        </w:rPr>
        <w:t>（2）小型、微型企业须符合《关于印发中小企业划型标准规定的通知》（工信部联企业〔2011〕300号）划分标准，采购标的对应的中小企业划分标准所属行业详见前附表（三）。</w:t>
      </w:r>
    </w:p>
    <w:p>
      <w:pPr>
        <w:spacing w:line="400" w:lineRule="exact"/>
        <w:ind w:firstLine="420" w:firstLineChars="200"/>
      </w:pPr>
      <w:r>
        <w:rPr>
          <w:rFonts w:hint="eastAsia"/>
        </w:rPr>
        <w:t>（3）在货物采购项目中，供应商提供的货物中无中大型企业制造的货物。</w:t>
      </w:r>
    </w:p>
    <w:p>
      <w:pPr>
        <w:spacing w:line="400" w:lineRule="exact"/>
        <w:ind w:firstLine="420" w:firstLineChars="200"/>
      </w:pPr>
      <w:r>
        <w:rPr>
          <w:rFonts w:hint="eastAsia"/>
        </w:rPr>
        <w:t>3.2.4招标文件接受联合体投标时，联合体协议约定小型和微型企业的合同份额占到合同总金额30%以上的，给予</w:t>
      </w:r>
      <w:r>
        <w:rPr>
          <w:rFonts w:hint="eastAsia"/>
          <w:lang w:val="en-US" w:eastAsia="zh-CN"/>
        </w:rPr>
        <w:t>4</w:t>
      </w:r>
      <w:r>
        <w:rPr>
          <w:rFonts w:hint="eastAsia"/>
        </w:rPr>
        <w:t>%的价格扣除。联合体各方都是小型和微型企业的，给予“资格审查和评标方法”3.2规定比例的价格扣除。</w:t>
      </w:r>
    </w:p>
    <w:p>
      <w:pPr>
        <w:spacing w:line="400" w:lineRule="exact"/>
        <w:ind w:firstLine="420" w:firstLineChars="200"/>
      </w:pPr>
      <w:r>
        <w:rPr>
          <w:rFonts w:hint="eastAsia"/>
        </w:rPr>
        <w:t>3.2.5招标文件允许大中型企业向一家或者多家小微企业分包时，对于分包意向协议约定小型和微型企业的合同份额占到合同总金额30%以上的，给予</w:t>
      </w:r>
      <w:r>
        <w:rPr>
          <w:rFonts w:hint="eastAsia"/>
          <w:lang w:val="en-US" w:eastAsia="zh-CN"/>
        </w:rPr>
        <w:t>4</w:t>
      </w:r>
      <w:r>
        <w:rPr>
          <w:rFonts w:hint="eastAsia"/>
        </w:rPr>
        <w:t>%的价格扣除。</w:t>
      </w:r>
    </w:p>
    <w:p>
      <w:pPr>
        <w:spacing w:line="400" w:lineRule="exact"/>
        <w:ind w:firstLine="420" w:firstLineChars="200"/>
      </w:pPr>
      <w:r>
        <w:rPr>
          <w:rFonts w:hint="eastAsia"/>
        </w:rPr>
        <w:t>3.2.6符合政府采购政策的监狱企业、残疾人福利性单位，视同小型、微型企业，享受评审中价格扣除，但上述单位同时属于小型、微型企业的，不重复享受评审价格扣除。</w:t>
      </w:r>
    </w:p>
    <w:p>
      <w:pPr>
        <w:pStyle w:val="Heading3"/>
        <w:spacing w:line="400" w:lineRule="exact"/>
        <w:rPr>
          <w:rFonts w:eastAsia="宋体"/>
        </w:rPr>
      </w:pPr>
      <w:bookmarkStart w:id="202" w:name="_Toc22281"/>
      <w:bookmarkStart w:id="203" w:name="_Toc7886"/>
      <w:bookmarkStart w:id="204" w:name="_Toc10575"/>
      <w:bookmarkStart w:id="205" w:name="_Toc1537"/>
      <w:bookmarkStart w:id="206" w:name="_Toc12414"/>
      <w:bookmarkStart w:id="207" w:name="_Toc256000034"/>
      <w:r>
        <w:rPr>
          <w:rFonts w:hint="eastAsia"/>
        </w:rPr>
        <w:t>3.3其他政府采购政策</w:t>
      </w:r>
      <w:bookmarkEnd w:id="207"/>
      <w:bookmarkEnd w:id="202"/>
      <w:bookmarkEnd w:id="203"/>
      <w:bookmarkEnd w:id="204"/>
      <w:bookmarkEnd w:id="205"/>
      <w:bookmarkEnd w:id="206"/>
    </w:p>
    <w:p>
      <w:pPr>
        <w:spacing w:line="400" w:lineRule="exact"/>
        <w:ind w:firstLine="420" w:firstLineChars="200"/>
      </w:pPr>
      <w:r>
        <w:rPr>
          <w:rFonts w:hint="eastAsia"/>
        </w:rPr>
        <w:t>其他政府采购政策，依据法律法规的规定和招标文件的约定执行。</w:t>
      </w:r>
    </w:p>
    <w:p>
      <w:pPr>
        <w:pStyle w:val="Heading3"/>
        <w:spacing w:line="400" w:lineRule="exact"/>
        <w:rPr>
          <w:rFonts w:eastAsia="宋体"/>
        </w:rPr>
      </w:pPr>
      <w:bookmarkStart w:id="208" w:name="_Toc28957"/>
      <w:bookmarkStart w:id="209" w:name="_Toc31178"/>
      <w:bookmarkStart w:id="210" w:name="_Toc8924"/>
      <w:bookmarkStart w:id="211" w:name="_Toc1339"/>
      <w:bookmarkStart w:id="212" w:name="_Toc17882"/>
      <w:bookmarkStart w:id="213" w:name="_Toc256000035"/>
      <w:r>
        <w:rPr>
          <w:rFonts w:hint="eastAsia"/>
        </w:rPr>
        <w:t>3.4不同投标人提供相同品牌产品</w:t>
      </w:r>
      <w:bookmarkEnd w:id="213"/>
      <w:bookmarkEnd w:id="208"/>
      <w:bookmarkEnd w:id="209"/>
      <w:bookmarkEnd w:id="210"/>
      <w:bookmarkEnd w:id="211"/>
      <w:bookmarkEnd w:id="212"/>
    </w:p>
    <w:p>
      <w:pPr>
        <w:spacing w:line="400" w:lineRule="exact"/>
        <w:ind w:firstLine="420" w:firstLineChars="200"/>
      </w:pPr>
      <w:r>
        <w:rPr>
          <w:rFonts w:hint="eastAsia"/>
        </w:rPr>
        <w:t>3.4.1采用最低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spacing w:line="400" w:lineRule="exact"/>
        <w:ind w:firstLine="420" w:firstLineChars="200"/>
      </w:pPr>
      <w:r>
        <w:rPr>
          <w:rFonts w:hint="eastAsia"/>
        </w:rPr>
        <w:t>3.4.2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spacing w:line="400" w:lineRule="exact"/>
        <w:ind w:firstLine="420" w:firstLineChars="200"/>
      </w:pPr>
      <w:r>
        <w:rPr>
          <w:rFonts w:hint="eastAsia"/>
        </w:rPr>
        <w:t>3.4.3非单一产品采购项目，采购人应当根据采购项目技术构成、产品价格比重等合理确定核心产品，核心产品见</w:t>
      </w:r>
      <w:r>
        <w:rPr>
          <w:rFonts w:eastAsia="黑体" w:hint="eastAsia"/>
        </w:rPr>
        <w:t>前附表</w:t>
      </w:r>
      <w:r>
        <w:rPr>
          <w:rFonts w:hint="eastAsia"/>
        </w:rPr>
        <w:t>。多家投标人提供的核心产品品牌完全相同的，按本条规定处理。</w:t>
      </w:r>
    </w:p>
    <w:p>
      <w:pPr>
        <w:pStyle w:val="Heading2"/>
        <w:spacing w:line="400" w:lineRule="exact"/>
      </w:pPr>
      <w:bookmarkStart w:id="214" w:name="_Toc5828"/>
      <w:bookmarkStart w:id="215" w:name="_Toc1833"/>
      <w:bookmarkStart w:id="216" w:name="_Toc256000036"/>
      <w:r>
        <w:rPr>
          <w:rFonts w:hint="eastAsia"/>
        </w:rPr>
        <w:t>4.评标方法</w:t>
      </w:r>
      <w:bookmarkEnd w:id="216"/>
      <w:bookmarkEnd w:id="214"/>
      <w:bookmarkEnd w:id="215"/>
    </w:p>
    <w:p>
      <w:pPr>
        <w:pStyle w:val="Heading3"/>
        <w:spacing w:line="400" w:lineRule="exact"/>
      </w:pPr>
      <w:bookmarkStart w:id="217" w:name="_Toc22771"/>
      <w:bookmarkStart w:id="218" w:name="_Toc7944"/>
      <w:bookmarkStart w:id="219" w:name="_Toc256000037"/>
      <w:r>
        <w:rPr>
          <w:rFonts w:hint="eastAsia"/>
        </w:rPr>
        <w:t>4.1 评标方法的分类</w:t>
      </w:r>
      <w:bookmarkEnd w:id="219"/>
      <w:bookmarkEnd w:id="217"/>
      <w:bookmarkEnd w:id="218"/>
    </w:p>
    <w:p>
      <w:pPr>
        <w:spacing w:line="400" w:lineRule="exact"/>
        <w:ind w:firstLine="420" w:firstLineChars="200"/>
      </w:pPr>
      <w:r>
        <w:rPr>
          <w:rFonts w:hint="eastAsia"/>
        </w:rPr>
        <w:t>4.1.1依据《深圳经济特区政府采购条例实施细则》，评标委员会应当按照以下方法对投标文件进行评审：</w:t>
      </w:r>
    </w:p>
    <w:p>
      <w:pPr>
        <w:spacing w:line="400" w:lineRule="exact"/>
        <w:ind w:firstLine="420" w:firstLineChars="200"/>
      </w:pPr>
      <w:r>
        <w:rPr>
          <w:rFonts w:hint="eastAsia"/>
        </w:rPr>
        <w:t>（一）综合评分法。</w:t>
      </w:r>
    </w:p>
    <w:p>
      <w:pPr>
        <w:spacing w:line="400" w:lineRule="exact"/>
        <w:ind w:firstLine="420" w:firstLineChars="200"/>
      </w:pPr>
      <w:r>
        <w:rPr>
          <w:rFonts w:hint="eastAsia"/>
        </w:rPr>
        <w:t>（二）定性评审法。</w:t>
      </w:r>
    </w:p>
    <w:p>
      <w:pPr>
        <w:spacing w:line="400" w:lineRule="exact"/>
        <w:ind w:firstLine="420" w:firstLineChars="200"/>
      </w:pPr>
      <w:r>
        <w:rPr>
          <w:rFonts w:hint="eastAsia"/>
        </w:rPr>
        <w:t>（三）最低价法。</w:t>
      </w:r>
    </w:p>
    <w:p>
      <w:pPr>
        <w:spacing w:line="400" w:lineRule="exact"/>
        <w:ind w:firstLine="420" w:firstLineChars="200"/>
      </w:pPr>
      <w:r>
        <w:rPr>
          <w:rFonts w:hint="eastAsia"/>
        </w:rPr>
        <w:t>（四）法律、法规规定的其他评审方法。</w:t>
      </w:r>
    </w:p>
    <w:p>
      <w:pPr>
        <w:spacing w:line="400" w:lineRule="exact"/>
        <w:ind w:firstLine="420" w:firstLineChars="200"/>
        <w:rPr>
          <w:rFonts w:eastAsia="黑体"/>
          <w:highlight w:val="yellow"/>
        </w:rPr>
      </w:pPr>
      <w:r>
        <w:rPr>
          <w:rFonts w:hint="eastAsia"/>
        </w:rPr>
        <w:t>4.1.2本项目采用的评标方法见</w:t>
      </w:r>
      <w:r>
        <w:rPr>
          <w:rFonts w:eastAsia="黑体" w:hint="eastAsia"/>
        </w:rPr>
        <w:t>前附表</w:t>
      </w:r>
      <w:r>
        <w:rPr>
          <w:rFonts w:hint="eastAsia"/>
        </w:rPr>
        <w:t>，投标人应按前附表规定的评标方法，选取本节中对应内容理解本招标项目，前附表中未选取的评标方法，本章节中与该评标方法对应的条款对项目不具有约束力。</w:t>
      </w:r>
    </w:p>
    <w:p>
      <w:pPr>
        <w:pStyle w:val="Heading2"/>
      </w:pPr>
      <w:bookmarkStart w:id="220" w:name="_Toc18840"/>
      <w:bookmarkStart w:id="221" w:name="_Toc551"/>
      <w:bookmarkStart w:id="222" w:name="_Toc17570"/>
      <w:bookmarkStart w:id="223" w:name="_Toc20500"/>
      <w:bookmarkStart w:id="224" w:name="_Toc14152"/>
      <w:bookmarkStart w:id="225" w:name="_Toc256000038"/>
      <w:r>
        <w:rPr>
          <w:rFonts w:hint="eastAsia"/>
        </w:rPr>
        <w:t>5.综合评分</w:t>
      </w:r>
      <w:bookmarkEnd w:id="220"/>
      <w:bookmarkEnd w:id="221"/>
      <w:bookmarkEnd w:id="222"/>
      <w:r>
        <w:rPr>
          <w:rFonts w:hint="eastAsia"/>
        </w:rPr>
        <w:t>法</w:t>
      </w:r>
      <w:bookmarkEnd w:id="225"/>
      <w:bookmarkEnd w:id="223"/>
      <w:bookmarkEnd w:id="224"/>
    </w:p>
    <w:p>
      <w:pPr>
        <w:pStyle w:val="Heading3"/>
      </w:pPr>
      <w:bookmarkStart w:id="226" w:name="_Toc20957"/>
      <w:bookmarkStart w:id="227" w:name="_Toc26906"/>
      <w:bookmarkStart w:id="228" w:name="_Toc256000039"/>
      <w:r>
        <w:rPr>
          <w:rFonts w:hint="eastAsia"/>
        </w:rPr>
        <w:t>5.1综合评分法的定义</w:t>
      </w:r>
      <w:bookmarkEnd w:id="228"/>
      <w:bookmarkEnd w:id="226"/>
      <w:bookmarkEnd w:id="227"/>
    </w:p>
    <w:p>
      <w:pPr>
        <w:spacing w:line="400" w:lineRule="exact"/>
        <w:ind w:firstLine="420" w:firstLineChars="200"/>
      </w:pPr>
      <w:r>
        <w:rPr>
          <w:rFonts w:hint="eastAsia"/>
        </w:rPr>
        <w:t>综合评分法。在指最大限度地满足招标文件实质性要求的前提下，按照招标文件中规定的各项因素进行综合评审，评标总得分排名前列的投标人，作为推荐的中标候选人。</w:t>
      </w:r>
    </w:p>
    <w:p>
      <w:pPr>
        <w:pStyle w:val="Heading3"/>
      </w:pPr>
      <w:bookmarkStart w:id="229" w:name="_Toc3924"/>
      <w:bookmarkStart w:id="230" w:name="_Toc15477"/>
      <w:bookmarkStart w:id="231" w:name="_Toc256000040"/>
      <w:r>
        <w:rPr>
          <w:rFonts w:hint="eastAsia"/>
        </w:rPr>
        <w:t>5.2综合评分法的评审规则</w:t>
      </w:r>
      <w:bookmarkEnd w:id="231"/>
      <w:bookmarkEnd w:id="229"/>
      <w:bookmarkEnd w:id="230"/>
    </w:p>
    <w:p>
      <w:pPr>
        <w:spacing w:line="400" w:lineRule="exact"/>
        <w:ind w:firstLine="420" w:firstLineChars="200"/>
      </w:pPr>
      <w:r>
        <w:rPr>
          <w:rFonts w:hint="eastAsia"/>
        </w:rPr>
        <w:t>5.2.1评标时，评标委员会各成员应当独立对每个投标人的投标文件进行评价，并汇总每个投标人的得分。</w:t>
      </w:r>
    </w:p>
    <w:p>
      <w:pPr>
        <w:spacing w:line="400" w:lineRule="exact"/>
        <w:ind w:firstLine="420" w:firstLineChars="200"/>
      </w:pPr>
      <w:r>
        <w:rPr>
          <w:rFonts w:hint="eastAsia"/>
        </w:rPr>
        <w:t>5.2.2价格分的计算公式见</w:t>
      </w:r>
      <w:r>
        <w:rPr>
          <w:rFonts w:ascii="黑体" w:eastAsia="黑体" w:hAnsi="黑体" w:cs="黑体" w:hint="eastAsia"/>
        </w:rPr>
        <w:t>评标信息</w:t>
      </w:r>
      <w:r>
        <w:rPr>
          <w:rFonts w:hint="eastAsia"/>
        </w:rPr>
        <w:t>，因落实政府采购政策进行价格调整的，以调整后的价格计算评标基准价和投标报价。</w:t>
      </w:r>
    </w:p>
    <w:p>
      <w:pPr>
        <w:spacing w:line="400" w:lineRule="exact"/>
        <w:ind w:firstLine="420" w:firstLineChars="200"/>
      </w:pPr>
      <w:r>
        <w:rPr>
          <w:rFonts w:hint="eastAsia"/>
        </w:rPr>
        <w:t>5.2.3评标总得分＝F1×A1＋F2×A2＋……＋Fn×An</w:t>
      </w:r>
    </w:p>
    <w:p>
      <w:pPr>
        <w:spacing w:line="400" w:lineRule="exact"/>
        <w:ind w:firstLine="420" w:firstLineChars="200"/>
      </w:pPr>
      <w:r>
        <w:rPr>
          <w:rFonts w:hint="eastAsia"/>
        </w:rPr>
        <w:t>F1、F2……Fn分别为各项评审因素的得分；</w:t>
      </w:r>
    </w:p>
    <w:p>
      <w:pPr>
        <w:spacing w:line="400" w:lineRule="exact"/>
        <w:ind w:firstLine="420" w:firstLineChars="200"/>
      </w:pPr>
      <w:r>
        <w:rPr>
          <w:rFonts w:hint="eastAsia"/>
        </w:rPr>
        <w:t>A1、A2、……An 分别为各项评审因素所占的权重(A1＋A2＋……＋An＝1)。</w:t>
      </w:r>
    </w:p>
    <w:p>
      <w:pPr>
        <w:spacing w:line="400" w:lineRule="exact"/>
        <w:ind w:firstLine="420" w:firstLineChars="200"/>
      </w:pPr>
      <w:r>
        <w:rPr>
          <w:rFonts w:hint="eastAsia"/>
        </w:rPr>
        <w:t>5.2.4评标委员会成员按照</w:t>
      </w:r>
      <w:r>
        <w:rPr>
          <w:rFonts w:eastAsia="黑体" w:hint="eastAsia"/>
        </w:rPr>
        <w:t>评标信息</w:t>
      </w:r>
      <w:r>
        <w:rPr>
          <w:rFonts w:hint="eastAsia"/>
        </w:rPr>
        <w:t>规定的量化因素和分值标准对投标文件打分。打分保留一位小数。将所有评标委员会成员的评分平均后为最终得分。计算平均分保留四位小数，小数点后第</w:t>
      </w:r>
      <w:r>
        <w:rPr>
          <w:rFonts w:hint="eastAsia"/>
          <w:lang w:val="en-US" w:eastAsia="zh-CN"/>
        </w:rPr>
        <w:t>五</w:t>
      </w:r>
      <w:r>
        <w:rPr>
          <w:rFonts w:hint="eastAsia"/>
        </w:rPr>
        <w:t>位四舍五入。</w:t>
      </w:r>
    </w:p>
    <w:p>
      <w:pPr>
        <w:spacing w:line="400" w:lineRule="exact"/>
        <w:ind w:firstLine="420" w:firstLineChars="200"/>
      </w:pPr>
      <w:r>
        <w:rPr>
          <w:rFonts w:hint="eastAsia"/>
        </w:rPr>
        <w:t>5.2.5综合评分法评分因素和权重分值</w:t>
      </w:r>
      <w:r>
        <w:t>表</w:t>
      </w:r>
      <w:r>
        <w:rPr>
          <w:rFonts w:eastAsia="宋体"/>
        </w:rPr>
        <w:t>见</w:t>
      </w:r>
      <w:r>
        <w:rPr>
          <w:rFonts w:eastAsia="黑体" w:hint="eastAsia"/>
        </w:rPr>
        <w:t>评标信息</w:t>
      </w:r>
      <w:r>
        <w:t>。</w:t>
      </w:r>
    </w:p>
    <w:p>
      <w:pPr>
        <w:pStyle w:val="Heading3"/>
        <w:spacing w:line="400" w:lineRule="exact"/>
      </w:pPr>
      <w:bookmarkStart w:id="232" w:name="_Toc25975"/>
      <w:bookmarkStart w:id="233" w:name="_Toc29214"/>
      <w:bookmarkStart w:id="234" w:name="_Toc32619"/>
      <w:bookmarkStart w:id="235" w:name="_Toc22194"/>
      <w:bookmarkStart w:id="236" w:name="_Toc14056"/>
      <w:bookmarkStart w:id="237" w:name="_Toc256000041"/>
      <w:r>
        <w:rPr>
          <w:rFonts w:hint="eastAsia"/>
        </w:rPr>
        <w:t>5</w:t>
      </w:r>
      <w:r>
        <w:t>.</w:t>
      </w:r>
      <w:r>
        <w:rPr>
          <w:rFonts w:hint="eastAsia"/>
        </w:rPr>
        <w:t>3推荐中标候选人</w:t>
      </w:r>
      <w:bookmarkEnd w:id="237"/>
      <w:bookmarkEnd w:id="232"/>
      <w:bookmarkEnd w:id="233"/>
      <w:bookmarkEnd w:id="234"/>
      <w:bookmarkEnd w:id="235"/>
      <w:bookmarkEnd w:id="236"/>
    </w:p>
    <w:p>
      <w:pPr>
        <w:spacing w:line="400" w:lineRule="exact"/>
        <w:ind w:firstLine="420" w:firstLineChars="200"/>
      </w:pPr>
      <w:r>
        <w:rPr>
          <w:rFonts w:hint="eastAsia"/>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pStyle w:val="Heading2"/>
      </w:pPr>
      <w:bookmarkStart w:id="238" w:name="_Toc30916"/>
      <w:bookmarkStart w:id="239" w:name="_Toc21734"/>
      <w:bookmarkStart w:id="240" w:name="_Toc256000042"/>
      <w:r>
        <w:rPr>
          <w:rFonts w:hint="eastAsia"/>
        </w:rPr>
        <w:t>6.定性评审法</w:t>
      </w:r>
      <w:bookmarkEnd w:id="240"/>
      <w:bookmarkEnd w:id="238"/>
      <w:bookmarkEnd w:id="239"/>
    </w:p>
    <w:p>
      <w:pPr>
        <w:pStyle w:val="Heading3"/>
      </w:pPr>
      <w:bookmarkStart w:id="241" w:name="_Toc6342"/>
      <w:bookmarkStart w:id="242" w:name="_Toc25770"/>
      <w:bookmarkStart w:id="243" w:name="_Toc256000043"/>
      <w:r>
        <w:rPr>
          <w:rFonts w:hint="eastAsia"/>
        </w:rPr>
        <w:t>6.1定性评审法的定义</w:t>
      </w:r>
      <w:bookmarkEnd w:id="243"/>
      <w:bookmarkEnd w:id="241"/>
      <w:bookmarkEnd w:id="242"/>
    </w:p>
    <w:p>
      <w:pPr>
        <w:spacing w:line="400" w:lineRule="exact"/>
        <w:ind w:firstLine="420" w:firstLineChars="200"/>
      </w:pPr>
      <w:r>
        <w:t>定性评审法，是指</w:t>
      </w:r>
      <w:r>
        <w:rPr>
          <w:rFonts w:hint="eastAsia"/>
        </w:rPr>
        <w:t>评标委员会</w:t>
      </w:r>
      <w:r>
        <w:t>按照招标文件规定的各项因素进行技术商务性评审，对各投标文件是否满足招标文件实质性要求提出评审意见，并形成评审报告。</w:t>
      </w:r>
      <w:r>
        <w:rPr>
          <w:rFonts w:hint="eastAsia"/>
        </w:rPr>
        <w:t>定性评审法仅适用于评标定标分离的政府采购项目。</w:t>
      </w:r>
    </w:p>
    <w:p>
      <w:pPr>
        <w:pStyle w:val="Heading3"/>
      </w:pPr>
      <w:bookmarkStart w:id="244" w:name="_Toc8079"/>
      <w:bookmarkStart w:id="245" w:name="_Toc12122"/>
      <w:bookmarkStart w:id="246" w:name="_Toc256000044"/>
      <w:r>
        <w:rPr>
          <w:rFonts w:hint="eastAsia"/>
        </w:rPr>
        <w:t>6.2定性评审的对象和方法</w:t>
      </w:r>
      <w:bookmarkEnd w:id="246"/>
      <w:bookmarkEnd w:id="244"/>
      <w:bookmarkEnd w:id="245"/>
    </w:p>
    <w:p>
      <w:pPr>
        <w:spacing w:line="400" w:lineRule="exact"/>
        <w:ind w:firstLine="420" w:firstLineChars="200"/>
      </w:pPr>
      <w:r>
        <w:rPr>
          <w:rFonts w:hint="eastAsia"/>
        </w:rPr>
        <w:t>评标委员会应对所有</w:t>
      </w:r>
      <w:r>
        <w:t>满足招标文件实质性要求</w:t>
      </w:r>
      <w:r>
        <w:rPr>
          <w:rFonts w:hint="eastAsia"/>
        </w:rPr>
        <w:t>的投标文件进行定性评审，指出投标文件的优点、缺陷、问题以及签订合同前应注意和澄清的事项，并形成评审报告。</w:t>
      </w:r>
    </w:p>
    <w:p>
      <w:pPr>
        <w:pStyle w:val="Heading3"/>
      </w:pPr>
      <w:bookmarkStart w:id="247" w:name="_Toc8600"/>
      <w:bookmarkStart w:id="248" w:name="_Toc14637"/>
      <w:bookmarkStart w:id="249" w:name="_Toc256000045"/>
      <w:r>
        <w:rPr>
          <w:rFonts w:hint="eastAsia"/>
        </w:rPr>
        <w:t>6.3推荐中标候选人</w:t>
      </w:r>
      <w:bookmarkEnd w:id="249"/>
      <w:bookmarkEnd w:id="247"/>
      <w:bookmarkEnd w:id="248"/>
    </w:p>
    <w:p>
      <w:pPr>
        <w:spacing w:line="400" w:lineRule="exact"/>
        <w:ind w:firstLine="420" w:firstLineChars="200"/>
      </w:pPr>
      <w:r>
        <w:rPr>
          <w:rFonts w:hint="eastAsia"/>
        </w:rPr>
        <w:t>所有递交的投标文件不被判定为废标或者无效标的投标人，均推荐为中标候选人。</w:t>
      </w:r>
    </w:p>
    <w:p>
      <w:pPr>
        <w:pStyle w:val="Heading2"/>
      </w:pPr>
      <w:bookmarkStart w:id="250" w:name="_Toc7075"/>
      <w:bookmarkStart w:id="251" w:name="_Toc13014"/>
      <w:bookmarkStart w:id="252" w:name="_Toc256000046"/>
      <w:r>
        <w:rPr>
          <w:rFonts w:hint="eastAsia"/>
        </w:rPr>
        <w:t>7.最低价法</w:t>
      </w:r>
      <w:bookmarkEnd w:id="252"/>
      <w:bookmarkEnd w:id="250"/>
      <w:bookmarkEnd w:id="251"/>
    </w:p>
    <w:p>
      <w:pPr>
        <w:pStyle w:val="Heading3"/>
      </w:pPr>
      <w:bookmarkStart w:id="253" w:name="_Toc9249"/>
      <w:bookmarkStart w:id="254" w:name="_Toc16638"/>
      <w:bookmarkStart w:id="255" w:name="_Toc256000047"/>
      <w:r>
        <w:rPr>
          <w:rFonts w:hint="eastAsia"/>
        </w:rPr>
        <w:t>7.1最低价法的定义</w:t>
      </w:r>
      <w:bookmarkEnd w:id="255"/>
      <w:bookmarkEnd w:id="253"/>
      <w:bookmarkEnd w:id="254"/>
    </w:p>
    <w:p>
      <w:pPr>
        <w:spacing w:line="400" w:lineRule="exact"/>
        <w:ind w:firstLine="420" w:firstLineChars="200"/>
      </w:pPr>
      <w:r>
        <w:rPr>
          <w:rFonts w:hint="eastAsia"/>
        </w:rPr>
        <w:t>最低价法，是指投标文件满足招标文件全部实质性要求，按照报价由低到高的顺序，依据招标文件中规定的数量或者比例推荐中标候选人的评标方法。</w:t>
      </w:r>
    </w:p>
    <w:p>
      <w:pPr>
        <w:pStyle w:val="Heading3"/>
      </w:pPr>
      <w:bookmarkStart w:id="256" w:name="_Toc30987"/>
      <w:bookmarkStart w:id="257" w:name="_Toc11256"/>
      <w:bookmarkStart w:id="258" w:name="_Toc256000048"/>
      <w:r>
        <w:rPr>
          <w:rFonts w:hint="eastAsia"/>
        </w:rPr>
        <w:t>7.2最低价法的评审规则</w:t>
      </w:r>
      <w:bookmarkEnd w:id="258"/>
      <w:bookmarkEnd w:id="256"/>
      <w:bookmarkEnd w:id="257"/>
    </w:p>
    <w:p>
      <w:pPr>
        <w:spacing w:line="400" w:lineRule="exact"/>
        <w:ind w:firstLine="420" w:firstLineChars="200"/>
      </w:pPr>
      <w:r>
        <w:rPr>
          <w:rFonts w:hint="eastAsia"/>
        </w:rPr>
        <w:t>采用最低评标价法评标时，除了算术修正和落实政府采购政策需进行的价格扣除外，不能对投标人的投标价格进行任何调整。</w:t>
      </w:r>
    </w:p>
    <w:p>
      <w:pPr>
        <w:pStyle w:val="Heading3"/>
        <w:spacing w:line="400" w:lineRule="exact"/>
      </w:pPr>
      <w:bookmarkStart w:id="259" w:name="_Toc28041"/>
      <w:bookmarkStart w:id="260" w:name="_Toc24814"/>
      <w:bookmarkStart w:id="261" w:name="_Toc256000049"/>
      <w:r>
        <w:rPr>
          <w:rFonts w:hint="eastAsia"/>
        </w:rPr>
        <w:t>7.3推荐中标候选人</w:t>
      </w:r>
      <w:bookmarkEnd w:id="261"/>
      <w:bookmarkEnd w:id="259"/>
      <w:bookmarkEnd w:id="260"/>
    </w:p>
    <w:p>
      <w:pPr>
        <w:spacing w:line="400" w:lineRule="exact"/>
        <w:ind w:firstLine="420" w:firstLineChars="200"/>
      </w:pPr>
      <w:r>
        <w:rPr>
          <w:rFonts w:hint="eastAsia"/>
        </w:rPr>
        <w:t>采用最低评标价法的，评标结果按投标报价由低到高顺序排列。投标报价相同的并列。投标文件满足招标文件全部实质性要求且投标报价最低的投标人为排名第一的中标候选人。</w:t>
      </w:r>
    </w:p>
    <w:p>
      <w:pPr>
        <w:pStyle w:val="Heading2"/>
        <w:spacing w:line="400" w:lineRule="exact"/>
      </w:pPr>
      <w:bookmarkStart w:id="262" w:name="_Toc4089"/>
      <w:bookmarkStart w:id="263" w:name="_Toc11661"/>
      <w:bookmarkStart w:id="264" w:name="_Toc14613"/>
      <w:bookmarkStart w:id="265" w:name="_Toc2888"/>
      <w:bookmarkStart w:id="266" w:name="_Toc30960"/>
      <w:bookmarkStart w:id="267" w:name="_Toc256000050"/>
      <w:r>
        <w:rPr>
          <w:rFonts w:hint="eastAsia"/>
        </w:rPr>
        <w:t>8.编写评标报告</w:t>
      </w:r>
      <w:bookmarkEnd w:id="267"/>
      <w:bookmarkEnd w:id="262"/>
      <w:bookmarkEnd w:id="263"/>
      <w:bookmarkEnd w:id="264"/>
      <w:bookmarkEnd w:id="265"/>
      <w:bookmarkEnd w:id="266"/>
    </w:p>
    <w:p>
      <w:pPr>
        <w:pStyle w:val="Heading3"/>
        <w:spacing w:line="400" w:lineRule="exact"/>
      </w:pPr>
      <w:bookmarkStart w:id="268" w:name="_Toc8089"/>
      <w:bookmarkStart w:id="269" w:name="_Toc31417"/>
      <w:bookmarkStart w:id="270" w:name="_Toc15559"/>
      <w:bookmarkStart w:id="271" w:name="_Toc25719"/>
      <w:bookmarkStart w:id="272" w:name="_Toc20989"/>
      <w:bookmarkStart w:id="273" w:name="_Toc256000051"/>
      <w:r>
        <w:rPr>
          <w:rFonts w:hint="eastAsia"/>
        </w:rPr>
        <w:t>8.1评标报告内容</w:t>
      </w:r>
      <w:bookmarkEnd w:id="273"/>
      <w:bookmarkEnd w:id="268"/>
      <w:bookmarkEnd w:id="269"/>
      <w:bookmarkEnd w:id="270"/>
      <w:bookmarkEnd w:id="271"/>
      <w:bookmarkEnd w:id="272"/>
    </w:p>
    <w:p>
      <w:pPr>
        <w:spacing w:line="400" w:lineRule="exact"/>
        <w:ind w:firstLine="420" w:firstLineChars="200"/>
      </w:pPr>
      <w:r>
        <w:rPr>
          <w:rFonts w:hint="eastAsia"/>
        </w:rPr>
        <w:t>评标委员会根据全体评标成员签字的原始评标记录和评标结果编写评标报告。评标报告包括以下内容：</w:t>
      </w:r>
    </w:p>
    <w:p>
      <w:pPr>
        <w:spacing w:line="400" w:lineRule="exact"/>
        <w:ind w:firstLine="420" w:firstLineChars="200"/>
      </w:pPr>
      <w:r>
        <w:rPr>
          <w:rFonts w:hint="eastAsia"/>
        </w:rPr>
        <w:t>（一）招标公告刊登的媒体名称、开标日期和地点；</w:t>
      </w:r>
    </w:p>
    <w:p>
      <w:pPr>
        <w:spacing w:line="400" w:lineRule="exact"/>
        <w:ind w:firstLine="420" w:firstLineChars="200"/>
      </w:pPr>
      <w:r>
        <w:rPr>
          <w:rFonts w:hint="eastAsia"/>
        </w:rPr>
        <w:t>（二）投标人名单和评标委员会成员名单；</w:t>
      </w:r>
    </w:p>
    <w:p>
      <w:pPr>
        <w:spacing w:line="400" w:lineRule="exact"/>
        <w:ind w:firstLine="420" w:firstLineChars="200"/>
      </w:pPr>
      <w:r>
        <w:rPr>
          <w:rFonts w:hint="eastAsia"/>
        </w:rPr>
        <w:t>（三）评标方法和标准；</w:t>
      </w:r>
    </w:p>
    <w:p>
      <w:pPr>
        <w:spacing w:line="400" w:lineRule="exact"/>
        <w:ind w:firstLine="420" w:firstLineChars="200"/>
      </w:pPr>
      <w:r>
        <w:rPr>
          <w:rFonts w:hint="eastAsia"/>
        </w:rPr>
        <w:t>（四）开标记录和评标情况及说明，包括无效投标人名单及原因；</w:t>
      </w:r>
    </w:p>
    <w:p>
      <w:pPr>
        <w:spacing w:line="400" w:lineRule="exact"/>
        <w:ind w:firstLine="420" w:firstLineChars="200"/>
      </w:pPr>
      <w:r>
        <w:rPr>
          <w:rFonts w:hint="eastAsia"/>
        </w:rPr>
        <w:t>（五）评标结果，确定的中标候选人名单或者经采购人委托直接确定的中标人；</w:t>
      </w:r>
    </w:p>
    <w:p>
      <w:pPr>
        <w:spacing w:line="400" w:lineRule="exact"/>
        <w:ind w:firstLine="420" w:firstLineChars="200"/>
      </w:pPr>
      <w:r>
        <w:rPr>
          <w:rFonts w:hint="eastAsia"/>
        </w:rPr>
        <w:t>（六）其他需要说明的情况，包括评标过程中投标人根据评标委员会要求进行的澄清、说明或者补正，评标委员会成员的更换等；</w:t>
      </w:r>
    </w:p>
    <w:p>
      <w:pPr>
        <w:spacing w:line="400" w:lineRule="exact"/>
        <w:ind w:firstLine="420" w:firstLineChars="200"/>
      </w:pPr>
      <w:r>
        <w:rPr>
          <w:rFonts w:hint="eastAsia"/>
        </w:rPr>
        <w:t>（七）采用定性评审时，评标报告应指出各投标文件中的优点和存在的缺陷，签订合同前应注意和澄清的事项等；</w:t>
      </w:r>
    </w:p>
    <w:p>
      <w:pPr>
        <w:spacing w:line="400" w:lineRule="exact"/>
        <w:ind w:firstLine="420" w:firstLineChars="200"/>
      </w:pPr>
      <w:r>
        <w:rPr>
          <w:rFonts w:hint="eastAsia"/>
        </w:rPr>
        <w:t>（八）定标方法采用自定法的项目，评标报告应包括各中标候选人的总体评价，包括但不限于投标人对招标文件的响应程度、技术（服务）方案优劣对比、报价合理性等。</w:t>
      </w:r>
    </w:p>
    <w:p>
      <w:pPr>
        <w:pStyle w:val="Heading3"/>
        <w:spacing w:line="400" w:lineRule="exact"/>
      </w:pPr>
      <w:bookmarkStart w:id="274" w:name="_Toc29800"/>
      <w:bookmarkStart w:id="275" w:name="_Toc19131"/>
      <w:bookmarkStart w:id="276" w:name="_Toc31359"/>
      <w:bookmarkStart w:id="277" w:name="_Toc6477"/>
      <w:bookmarkStart w:id="278" w:name="_Toc32624"/>
      <w:bookmarkStart w:id="279" w:name="_Toc256000052"/>
      <w:r>
        <w:rPr>
          <w:rFonts w:hint="eastAsia"/>
        </w:rPr>
        <w:t>8.2评标委员会成员争议事项的认定</w:t>
      </w:r>
      <w:bookmarkEnd w:id="279"/>
      <w:bookmarkEnd w:id="274"/>
      <w:bookmarkEnd w:id="275"/>
      <w:bookmarkEnd w:id="276"/>
      <w:bookmarkEnd w:id="277"/>
      <w:bookmarkEnd w:id="278"/>
    </w:p>
    <w:p>
      <w:pPr>
        <w:spacing w:line="400" w:lineRule="exact"/>
        <w:ind w:firstLine="420" w:firstLineChars="200"/>
      </w:pPr>
      <w:r>
        <w:rPr>
          <w:rFonts w:hint="eastAsia"/>
        </w:rPr>
        <w:t>评标委员会成员对需要共同认定的事项存在争议的，应当按照少数服从多数的原则作出结论。持不同意见的评标委员会成员应当在评标报告上签署不同意见及理由，否则视为同意评标报告。</w:t>
      </w:r>
    </w:p>
    <w:p>
      <w:pPr>
        <w:pStyle w:val="Heading2"/>
        <w:spacing w:line="400" w:lineRule="atLeast"/>
      </w:pPr>
      <w:bookmarkStart w:id="280" w:name="_Toc17804"/>
      <w:bookmarkStart w:id="281" w:name="_Toc22652"/>
      <w:bookmarkStart w:id="282" w:name="_Toc256000053"/>
      <w:r>
        <w:rPr>
          <w:rFonts w:hint="eastAsia"/>
        </w:rPr>
        <w:t>9.确定中标人</w:t>
      </w:r>
      <w:bookmarkEnd w:id="282"/>
      <w:bookmarkEnd w:id="280"/>
      <w:bookmarkEnd w:id="281"/>
    </w:p>
    <w:p>
      <w:pPr>
        <w:pStyle w:val="Heading3"/>
        <w:spacing w:line="400" w:lineRule="atLeast"/>
      </w:pPr>
      <w:bookmarkStart w:id="283" w:name="_Toc5358"/>
      <w:bookmarkStart w:id="284" w:name="_Toc11528"/>
      <w:bookmarkStart w:id="285" w:name="_Toc256000054"/>
      <w:r>
        <w:rPr>
          <w:rFonts w:hint="eastAsia"/>
        </w:rPr>
        <w:t>9.1中标人及中标候选人的数量</w:t>
      </w:r>
      <w:bookmarkEnd w:id="285"/>
      <w:bookmarkEnd w:id="283"/>
      <w:bookmarkEnd w:id="284"/>
    </w:p>
    <w:p>
      <w:pPr>
        <w:ind w:firstLine="424" w:firstLineChars="202"/>
      </w:pPr>
      <w:r>
        <w:rPr>
          <w:rFonts w:hint="eastAsia"/>
        </w:rPr>
        <w:t>除评标方法采用定性评审法外，原则上中标候选人数量按“N+2”标准推荐，N为实际所需数量的中标人数量，实际所需中标人数量为1时，推荐中标候选人数量为“1+2”，即3名中标候选人。当有效供应商少于“N+2”时，全部推荐。本项目需要的中标人及中标候选人数量见</w:t>
      </w:r>
      <w:r>
        <w:rPr>
          <w:rFonts w:eastAsia="黑体" w:hint="eastAsia"/>
        </w:rPr>
        <w:t>前附表</w:t>
      </w:r>
      <w:r>
        <w:rPr>
          <w:rFonts w:hint="eastAsia"/>
        </w:rPr>
        <w:t>。</w:t>
      </w:r>
    </w:p>
    <w:p>
      <w:pPr>
        <w:pStyle w:val="Heading3"/>
        <w:spacing w:line="400" w:lineRule="atLeast"/>
      </w:pPr>
      <w:bookmarkStart w:id="286" w:name="_Toc4233"/>
      <w:bookmarkStart w:id="287" w:name="_Toc19785"/>
      <w:bookmarkStart w:id="288" w:name="_Toc256000055"/>
      <w:r>
        <w:rPr>
          <w:rFonts w:hint="eastAsia"/>
        </w:rPr>
        <w:t>9.2是否评标定标分离</w:t>
      </w:r>
      <w:bookmarkEnd w:id="288"/>
      <w:bookmarkEnd w:id="286"/>
      <w:bookmarkEnd w:id="287"/>
    </w:p>
    <w:p>
      <w:pPr>
        <w:spacing w:line="400" w:lineRule="atLeast"/>
        <w:ind w:firstLine="420" w:firstLineChars="200"/>
      </w:pPr>
      <w:r>
        <w:rPr>
          <w:rFonts w:hint="eastAsia"/>
        </w:rPr>
        <w:t>确定中标人分两种方式：（1）评定分离：采购人根据评标定标分离的原则在评标委员会推荐的中标候选人范围内确定中标人；（2）不适用评定分离：采购人授权评审委员会确定中标供应商，对评审委员会根据授权确定的中标供应商，采购人应当予以确认。本项目确定中标人的方式见</w:t>
      </w:r>
      <w:r>
        <w:rPr>
          <w:rFonts w:eastAsia="黑体" w:hint="eastAsia"/>
        </w:rPr>
        <w:t>前附表</w:t>
      </w:r>
      <w:r>
        <w:rPr>
          <w:rFonts w:hint="eastAsia"/>
        </w:rPr>
        <w:t>。</w:t>
      </w:r>
    </w:p>
    <w:p>
      <w:pPr>
        <w:pStyle w:val="Heading3"/>
        <w:spacing w:line="400" w:lineRule="atLeast"/>
      </w:pPr>
      <w:bookmarkStart w:id="289" w:name="_Toc9184"/>
      <w:bookmarkStart w:id="290" w:name="_Toc31877"/>
      <w:bookmarkStart w:id="291" w:name="_Toc256000056"/>
      <w:r>
        <w:rPr>
          <w:rFonts w:hint="eastAsia"/>
        </w:rPr>
        <w:t>9.3不适用评定分离时的定标方法</w:t>
      </w:r>
      <w:bookmarkEnd w:id="291"/>
      <w:bookmarkEnd w:id="289"/>
      <w:bookmarkEnd w:id="290"/>
    </w:p>
    <w:p>
      <w:pPr>
        <w:spacing w:line="400" w:lineRule="exact"/>
        <w:ind w:firstLine="420" w:firstLineChars="200"/>
      </w:pPr>
      <w:r>
        <w:rPr>
          <w:rFonts w:hint="eastAsia"/>
        </w:rPr>
        <w:t>9.3.1不适用评标定标分离时，本项目即视为采购人授权评标委员会确定中标人，采购人对评审结果应当予以确认。</w:t>
      </w:r>
    </w:p>
    <w:p>
      <w:pPr>
        <w:spacing w:line="400" w:lineRule="atLeast"/>
        <w:ind w:firstLine="420" w:firstLineChars="200"/>
      </w:pPr>
      <w:r>
        <w:rPr>
          <w:rFonts w:hint="eastAsia"/>
        </w:rPr>
        <w:t>9.3.2采用综合评分法和最低价法评审时，评标委员会按中标候选人排序确定中标人，第一中标候选人并列的，采取随机抽取的方式确定。</w:t>
      </w:r>
    </w:p>
    <w:p>
      <w:pPr>
        <w:pStyle w:val="Heading3"/>
        <w:spacing w:line="400" w:lineRule="atLeast"/>
      </w:pPr>
      <w:bookmarkStart w:id="292" w:name="_Toc1862"/>
      <w:bookmarkStart w:id="293" w:name="_Toc1943"/>
      <w:bookmarkStart w:id="294" w:name="_Toc256000057"/>
      <w:r>
        <w:rPr>
          <w:rFonts w:hint="eastAsia"/>
        </w:rPr>
        <w:t>9.4评定分离时的定标方法</w:t>
      </w:r>
      <w:bookmarkEnd w:id="294"/>
      <w:bookmarkEnd w:id="292"/>
      <w:bookmarkEnd w:id="293"/>
    </w:p>
    <w:p>
      <w:pPr>
        <w:spacing w:line="400" w:lineRule="exact"/>
        <w:ind w:firstLine="420" w:firstLineChars="200"/>
      </w:pPr>
      <w:r>
        <w:rPr>
          <w:rFonts w:hint="eastAsia"/>
        </w:rPr>
        <w:t>9.4.1依据《深圳经济特区政府采购条例实施细则》，项目适用评定分离时，采购人应当按照以下方法确定中标人：（一）自定法；（二）抽签法；（三）竞价法。</w:t>
      </w:r>
    </w:p>
    <w:p>
      <w:pPr>
        <w:spacing w:line="400" w:lineRule="exact"/>
        <w:ind w:firstLine="420" w:firstLineChars="200"/>
      </w:pPr>
      <w:r>
        <w:rPr>
          <w:rFonts w:hint="eastAsia"/>
        </w:rPr>
        <w:t>9.4.2本项目定标方法见</w:t>
      </w:r>
      <w:r>
        <w:rPr>
          <w:rFonts w:eastAsia="黑体" w:hint="eastAsia"/>
        </w:rPr>
        <w:t>前附表</w:t>
      </w:r>
      <w:r>
        <w:rPr>
          <w:rFonts w:hint="eastAsia"/>
        </w:rPr>
        <w:t>。投标人应按前附表规定的定标方法，选取本节中对应内容理解本招标项目，前附表中未选取的定标方法，本章节中与该定标方法对应的条款对项目不具有约束力。</w:t>
      </w:r>
    </w:p>
    <w:p>
      <w:pPr>
        <w:spacing w:line="400" w:lineRule="exact"/>
        <w:ind w:firstLine="420" w:firstLineChars="200"/>
      </w:pPr>
      <w:r>
        <w:rPr>
          <w:rFonts w:hint="eastAsia"/>
        </w:rPr>
        <w:t>9.4.3自定法，是指采购人的定标机构召开定标会按议事规则在中标候选人中确定中标人。</w:t>
      </w:r>
    </w:p>
    <w:p>
      <w:pPr>
        <w:spacing w:line="400" w:lineRule="exact"/>
        <w:ind w:firstLine="420" w:firstLineChars="200"/>
      </w:pPr>
      <w:r>
        <w:rPr>
          <w:rFonts w:hint="eastAsia"/>
        </w:rPr>
        <w:t>9.4.4抽签法，是指中标候选人产生后，由采购人委托采购代理机构按照随机抽签的方式在中标候选人中确定中标人。</w:t>
      </w:r>
    </w:p>
    <w:p>
      <w:pPr>
        <w:spacing w:line="400" w:lineRule="exact"/>
        <w:ind w:firstLine="420" w:firstLineChars="200"/>
      </w:pPr>
      <w:r>
        <w:rPr>
          <w:rFonts w:hint="eastAsia"/>
        </w:rPr>
        <w:t>（1）编号。抽签小组按中标候选人投标报名时间先后确定抽签编号，如A公司投标报名时间最早，则抽签编号为1，以此类推。</w:t>
      </w:r>
    </w:p>
    <w:p>
      <w:pPr>
        <w:spacing w:line="400" w:lineRule="exact"/>
        <w:ind w:firstLine="420" w:firstLineChars="200"/>
      </w:pPr>
      <w:r>
        <w:rPr>
          <w:rFonts w:hint="eastAsia"/>
        </w:rPr>
        <w:t>（2）抽签。按抽签编号的数量在摇号机放入相应数量及编号的号码球，抽签小组成员随机抽取一个号码球。</w:t>
      </w:r>
    </w:p>
    <w:p>
      <w:pPr>
        <w:spacing w:line="400" w:lineRule="exact"/>
        <w:ind w:firstLine="420" w:firstLineChars="200"/>
      </w:pPr>
      <w:r>
        <w:rPr>
          <w:rFonts w:hint="eastAsia"/>
        </w:rPr>
        <w:t>（3）定签。按抽中的号码球编号与事先确定的抽签编号对应确定中标人。</w:t>
      </w:r>
    </w:p>
    <w:p>
      <w:pPr>
        <w:spacing w:line="400" w:lineRule="exact"/>
        <w:ind w:firstLine="420" w:firstLineChars="200"/>
      </w:pPr>
      <w:r>
        <w:rPr>
          <w:rFonts w:hint="eastAsia"/>
        </w:rPr>
        <w:t>（4）确认结果。抽签小组成员及项目评审负责人签字确认抽签结果。</w:t>
      </w:r>
    </w:p>
    <w:p>
      <w:pPr>
        <w:spacing w:line="400" w:lineRule="exact"/>
        <w:ind w:firstLine="420" w:firstLineChars="200"/>
      </w:pPr>
      <w:r>
        <w:rPr>
          <w:rFonts w:hint="eastAsia"/>
        </w:rPr>
        <w:t>9.4.5竞价法，是指中标候选人产生后，由采购人委托采购代理机构组织中标候选人进行二次竞价，最终报价最低的为中标人。未竞价报价、或未在指定时间内到达现场的中标候选人，最终报价以其投标文件的投标报价为准。中标候选人的下一轮报价不能高于上一轮投标报价。如有两家或以上中标候选人最终报价相同且同为最低报价时，抽签确定中标人。除非</w:t>
      </w:r>
      <w:r>
        <w:rPr>
          <w:rFonts w:eastAsia="黑体" w:hint="eastAsia"/>
        </w:rPr>
        <w:t>前附表</w:t>
      </w:r>
      <w:r>
        <w:rPr>
          <w:rFonts w:hint="eastAsia"/>
        </w:rPr>
        <w:t>另有说明，竞价定标阶段不适用小型微型企业价格扣除。</w:t>
      </w:r>
      <w:r>
        <w:rPr>
          <w:rFonts w:hint="eastAsia"/>
        </w:rPr>
        <w:br w:type="page"/>
      </w:r>
    </w:p>
    <w:p>
      <w:pPr>
        <w:spacing w:line="400" w:lineRule="exact"/>
      </w:pPr>
    </w:p>
    <w:p>
      <w:pPr>
        <w:pStyle w:val="Heading1"/>
        <w:spacing w:line="480" w:lineRule="auto"/>
        <w:jc w:val="center"/>
      </w:pPr>
      <w:bookmarkStart w:id="295" w:name="_Toc1112"/>
      <w:bookmarkStart w:id="296" w:name="_Toc12976"/>
      <w:bookmarkStart w:id="297" w:name="_Toc5350"/>
      <w:bookmarkStart w:id="298" w:name="_Toc21593"/>
      <w:bookmarkStart w:id="299" w:name="_Toc28879"/>
      <w:bookmarkStart w:id="300" w:name="_Toc256000058"/>
      <w:r>
        <w:rPr>
          <w:rFonts w:hint="eastAsia"/>
        </w:rPr>
        <w:t>第四章 投标资料表</w:t>
      </w:r>
      <w:bookmarkEnd w:id="300"/>
      <w:bookmarkEnd w:id="295"/>
      <w:bookmarkEnd w:id="296"/>
      <w:bookmarkEnd w:id="297"/>
      <w:bookmarkEnd w:id="298"/>
      <w:bookmarkEnd w:id="299"/>
    </w:p>
    <w:p>
      <w:pPr>
        <w:spacing w:line="400" w:lineRule="exact"/>
      </w:pPr>
    </w:p>
    <w:p>
      <w:pPr>
        <w:spacing w:line="400" w:lineRule="exact"/>
        <w:ind w:firstLine="420" w:firstLineChars="200"/>
      </w:pPr>
      <w:r>
        <w:rPr>
          <w:rFonts w:hint="eastAsia"/>
        </w:rPr>
        <w:t>投标资料表是关于本招标项目的具体资料，是对招标文件第七章“投标人须知”的具体补充和修改，投标人须知和投标资料表不一致之处，应以投标资料表为准。投标资料表的条款号与投标人须知条款号是一一对应的关系。</w:t>
      </w:r>
    </w:p>
    <w:p>
      <w:pPr>
        <w:spacing w:line="400" w:lineRule="exact"/>
        <w:ind w:firstLine="420" w:firstLineChars="200"/>
        <w:rPr>
          <w:rFonts w:cs="Times New Roman"/>
          <w:szCs w:val="21"/>
        </w:rPr>
      </w:pPr>
      <w:r>
        <w:rPr>
          <w:rFonts w:hint="eastAsia"/>
        </w:rPr>
        <w:t>下表中“■”表明本项目选择该符号后所列内容，“</w:t>
      </w:r>
      <w:r>
        <w:rPr>
          <w:rFonts w:eastAsia="宋体" w:hAnsi="Calibri" w:cs="Times New Roman" w:hint="eastAsia"/>
          <w:szCs w:val="21"/>
        </w:rPr>
        <w:t>□</w:t>
      </w:r>
      <w:r>
        <w:rPr>
          <w:rFonts w:cs="Times New Roman" w:hint="eastAsia"/>
          <w:szCs w:val="21"/>
        </w:rPr>
        <w:t>”表明未选择该符号后所列内容。</w:t>
      </w:r>
    </w:p>
    <w:p>
      <w:pPr>
        <w:spacing w:line="400" w:lineRule="exact"/>
        <w:ind w:firstLine="420" w:firstLineChars="200"/>
        <w:rPr>
          <w:rFonts w:cs="Times New Roman"/>
          <w:szCs w:val="21"/>
        </w:rPr>
      </w:pPr>
    </w:p>
    <w:tbl>
      <w:tblPr>
        <w:tblStyle w:val="TableNormal"/>
        <w:tblW w:w="0" w:type="auto"/>
        <w:tblInd w:w="0" w:type="dxa"/>
        <w:tblLayout w:type="fixed"/>
        <w:tblCellMar>
          <w:top w:w="0" w:type="dxa"/>
          <w:left w:w="108" w:type="dxa"/>
          <w:bottom w:w="0" w:type="dxa"/>
          <w:right w:w="108" w:type="dxa"/>
        </w:tblCellMar>
      </w:tblPr>
      <w:tblGrid>
        <w:gridCol w:w="1008"/>
        <w:gridCol w:w="2731"/>
        <w:gridCol w:w="4783"/>
      </w:tblGrid>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条款号</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条款名称</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ascii="黑体" w:eastAsia="黑体" w:hAnsi="黑体" w:cs="黑体"/>
                <w:b/>
                <w:szCs w:val="21"/>
              </w:rPr>
            </w:pPr>
            <w:r>
              <w:rPr>
                <w:rFonts w:ascii="黑体" w:eastAsia="黑体" w:hAnsi="黑体" w:cs="黑体" w:hint="eastAsia"/>
                <w:b/>
                <w:szCs w:val="21"/>
              </w:rPr>
              <w:t>内  容</w:t>
            </w:r>
          </w:p>
        </w:tc>
      </w:tr>
      <w:tr>
        <w:tblPrEx>
          <w:tblW w:w="0" w:type="auto"/>
          <w:tblInd w:w="0" w:type="dxa"/>
          <w:tblLayout w:type="fixed"/>
          <w:tblCellMar>
            <w:top w:w="0" w:type="dxa"/>
            <w:left w:w="108" w:type="dxa"/>
            <w:bottom w:w="0" w:type="dxa"/>
            <w:right w:w="108" w:type="dxa"/>
          </w:tblCellMar>
        </w:tblPrEx>
        <w:trPr>
          <w:trHeight w:val="612"/>
        </w:trPr>
        <w:tc>
          <w:tcPr>
            <w:tcW w:w="852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b/>
                <w:szCs w:val="21"/>
              </w:rPr>
            </w:pPr>
            <w:r>
              <w:rPr>
                <w:rFonts w:ascii="黑体" w:eastAsia="黑体" w:hAnsi="黑体" w:cs="黑体" w:hint="eastAsia"/>
                <w:b/>
                <w:sz w:val="24"/>
              </w:rPr>
              <w:t>1.总则</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hint="eastAsia"/>
                <w:szCs w:val="21"/>
              </w:rPr>
              <w:t>1.1.1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hint="eastAsia"/>
                <w:szCs w:val="21"/>
              </w:rPr>
              <w:t>招标方式</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eastAsia="宋体"/>
                <w:szCs w:val="21"/>
              </w:rPr>
            </w:pPr>
            <w:r>
              <w:rPr>
                <w:rFonts w:hint="eastAsia"/>
                <w:szCs w:val="21"/>
              </w:rPr>
              <w:t>公开招标</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1.1.2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5F497A"/>
                <w:szCs w:val="21"/>
              </w:rPr>
            </w:pPr>
            <w:r>
              <w:rPr>
                <w:rFonts w:hint="eastAsia"/>
                <w:color w:val="auto"/>
                <w:szCs w:val="21"/>
              </w:rPr>
              <w:t>采购人</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ascii="Times New Roman" w:eastAsia="宋体" w:hAnsi="Times New Roman" w:cs="Times New Roman" w:hint="default"/>
                <w:kern w:val="2"/>
                <w:sz w:val="21"/>
                <w:szCs w:val="21"/>
                <w:lang w:val="en-US" w:eastAsia="zh-CN" w:bidi="ar-SA"/>
              </w:rPr>
            </w:pPr>
            <w:r>
              <w:rPr>
                <w:rFonts w:ascii="Times New Roman" w:eastAsia="宋体" w:hAnsi="Times New Roman" w:cs="Times New Roman" w:hint="default"/>
                <w:kern w:val="2"/>
                <w:sz w:val="21"/>
                <w:szCs w:val="21"/>
                <w:lang w:val="en-US" w:eastAsia="zh-CN" w:bidi="ar-SA"/>
              </w:rPr>
              <w:t>名称：南方医科大学深圳坪山医院</w:t>
            </w:r>
            <w:r>
              <w:rPr>
                <w:rFonts w:cs="Times New Roman" w:hint="eastAsia"/>
                <w:kern w:val="2"/>
                <w:sz w:val="21"/>
                <w:szCs w:val="21"/>
                <w:lang w:val="en-US" w:eastAsia="zh-CN" w:bidi="ar-SA"/>
              </w:rPr>
              <w:t>（深圳市坪山区人民医院）</w:t>
            </w:r>
          </w:p>
          <w:p>
            <w:pPr>
              <w:spacing w:line="400" w:lineRule="exact"/>
              <w:rPr>
                <w:rFonts w:ascii="Times New Roman" w:eastAsia="宋体" w:hAnsi="Times New Roman" w:cs="Times New Roman" w:hint="default"/>
                <w:kern w:val="2"/>
                <w:sz w:val="21"/>
                <w:szCs w:val="21"/>
                <w:lang w:val="en-US" w:eastAsia="zh-CN" w:bidi="ar-SA"/>
              </w:rPr>
            </w:pPr>
            <w:r>
              <w:rPr>
                <w:rFonts w:ascii="Times New Roman" w:eastAsia="宋体" w:hAnsi="Times New Roman" w:cs="Times New Roman" w:hint="default"/>
                <w:kern w:val="2"/>
                <w:sz w:val="21"/>
                <w:szCs w:val="21"/>
                <w:lang w:val="en-US" w:eastAsia="zh-CN" w:bidi="ar-SA"/>
              </w:rPr>
              <w:t>地址：</w:t>
            </w:r>
            <w:r>
              <w:rPr>
                <w:rFonts w:cs="Times New Roman" w:hint="eastAsia"/>
                <w:kern w:val="2"/>
                <w:sz w:val="21"/>
                <w:szCs w:val="21"/>
                <w:lang w:val="en-US" w:eastAsia="zh-CN" w:bidi="ar-SA"/>
              </w:rPr>
              <w:t>深圳市坪山区碧岭街道振碧路19号</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1.1.3</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采购</w:t>
            </w:r>
            <w:r>
              <w:rPr>
                <w:szCs w:val="21"/>
              </w:rPr>
              <w:t>代理机构</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szCs w:val="21"/>
              </w:rPr>
            </w:pPr>
            <w:r>
              <w:rPr>
                <w:rFonts w:hint="eastAsia"/>
                <w:szCs w:val="21"/>
              </w:rPr>
              <w:t>采购</w:t>
            </w:r>
            <w:r>
              <w:rPr>
                <w:szCs w:val="21"/>
              </w:rPr>
              <w:t>代理机构</w:t>
            </w:r>
            <w:r>
              <w:rPr>
                <w:rFonts w:hint="eastAsia"/>
                <w:szCs w:val="21"/>
              </w:rPr>
              <w:t>：深圳龙达招标有限公司</w:t>
            </w:r>
          </w:p>
          <w:p>
            <w:pPr>
              <w:spacing w:line="400" w:lineRule="exact"/>
              <w:rPr>
                <w:szCs w:val="21"/>
              </w:rPr>
            </w:pPr>
            <w:r>
              <w:rPr>
                <w:rFonts w:hint="eastAsia"/>
                <w:szCs w:val="21"/>
              </w:rPr>
              <w:t>地址：</w:t>
            </w:r>
            <w:r>
              <w:rPr>
                <w:rFonts w:hint="eastAsia"/>
                <w:lang w:eastAsia="zh-CN"/>
              </w:rPr>
              <w:t>深圳市福田区沙头街道新华社区新洲十一街139号中央西谷大厦1806</w:t>
            </w:r>
          </w:p>
          <w:p>
            <w:pPr>
              <w:spacing w:line="400" w:lineRule="exact"/>
              <w:rPr>
                <w:rFonts w:eastAsia="宋体" w:hint="eastAsia"/>
                <w:szCs w:val="21"/>
                <w:lang w:eastAsia="zh-CN"/>
              </w:rPr>
            </w:pPr>
            <w:r>
              <w:rPr>
                <w:rFonts w:hint="eastAsia"/>
                <w:szCs w:val="21"/>
              </w:rPr>
              <w:t>联 系 人：</w:t>
            </w:r>
            <w:r>
              <w:rPr>
                <w:rFonts w:hint="eastAsia"/>
                <w:szCs w:val="21"/>
                <w:lang w:val="en-US" w:eastAsia="zh-CN"/>
              </w:rPr>
              <w:t>张志辉</w:t>
            </w:r>
          </w:p>
          <w:p>
            <w:pPr>
              <w:spacing w:line="400" w:lineRule="exact"/>
              <w:rPr>
                <w:rFonts w:eastAsia="宋体" w:hint="default"/>
                <w:szCs w:val="21"/>
                <w:lang w:val="en-US" w:eastAsia="zh-CN"/>
              </w:rPr>
            </w:pPr>
            <w:r>
              <w:rPr>
                <w:rFonts w:hint="eastAsia"/>
                <w:szCs w:val="21"/>
              </w:rPr>
              <w:t>邮政编码：5180</w:t>
            </w:r>
            <w:r>
              <w:rPr>
                <w:rFonts w:hint="eastAsia"/>
                <w:szCs w:val="21"/>
                <w:lang w:val="en-US" w:eastAsia="zh-CN"/>
              </w:rPr>
              <w:t>00</w:t>
            </w:r>
          </w:p>
          <w:p>
            <w:pPr>
              <w:spacing w:line="400" w:lineRule="exact"/>
              <w:rPr>
                <w:rFonts w:eastAsia="宋体" w:hint="default"/>
                <w:szCs w:val="21"/>
                <w:lang w:val="en-US" w:eastAsia="zh-CN"/>
              </w:rPr>
            </w:pPr>
            <w:r>
              <w:rPr>
                <w:rFonts w:hint="eastAsia"/>
                <w:szCs w:val="21"/>
              </w:rPr>
              <w:t>电话：0755-83864290 转8</w:t>
            </w:r>
            <w:r>
              <w:rPr>
                <w:rFonts w:hint="eastAsia"/>
                <w:szCs w:val="21"/>
                <w:lang w:val="en-US" w:eastAsia="zh-CN"/>
              </w:rPr>
              <w:t>20</w:t>
            </w:r>
          </w:p>
          <w:p>
            <w:pPr>
              <w:spacing w:line="400" w:lineRule="exact"/>
              <w:rPr>
                <w:szCs w:val="21"/>
              </w:rPr>
            </w:pPr>
            <w:r>
              <w:rPr>
                <w:rFonts w:hint="eastAsia"/>
                <w:szCs w:val="21"/>
              </w:rPr>
              <w:t>email：</w:t>
            </w:r>
            <w:r>
              <w:rPr>
                <w:rFonts w:hint="eastAsia"/>
                <w:szCs w:val="21"/>
                <w:lang w:val="en-US" w:eastAsia="zh-CN"/>
              </w:rPr>
              <w:t>724556531</w:t>
            </w:r>
            <w:r>
              <w:rPr>
                <w:rFonts w:hint="eastAsia"/>
                <w:szCs w:val="21"/>
              </w:rPr>
              <w:t>@qq.com</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1.1.4</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项目名称</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eastAsia="宋体" w:hint="default"/>
                <w:szCs w:val="21"/>
                <w:lang w:eastAsia="zh-CN"/>
              </w:rPr>
            </w:pPr>
            <w:r>
              <w:rPr>
                <w:rFonts w:hint="eastAsia"/>
                <w:lang w:eastAsia="zh-CN"/>
              </w:rPr>
              <w:t>南方医科大学深圳坪山医院（深圳市坪山区人民医院）新院区空气检测及除甲醛</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1.1.5</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实施</w:t>
            </w:r>
            <w:r>
              <w:rPr>
                <w:szCs w:val="21"/>
              </w:rPr>
              <w:t>地点</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eastAsia="宋体"/>
                <w:szCs w:val="21"/>
              </w:rPr>
            </w:pPr>
            <w:r>
              <w:rPr>
                <w:rFonts w:hint="eastAsia"/>
                <w:szCs w:val="21"/>
              </w:rPr>
              <w:t>深圳市内，采购人指定</w:t>
            </w:r>
            <w:r>
              <w:rPr>
                <w:rFonts w:hint="eastAsia"/>
                <w:szCs w:val="21"/>
                <w:lang w:val="en-US" w:eastAsia="zh-CN"/>
              </w:rPr>
              <w:t>地</w:t>
            </w:r>
            <w:r>
              <w:rPr>
                <w:rFonts w:hint="eastAsia"/>
                <w:szCs w:val="21"/>
              </w:rPr>
              <w:t>点。</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hint="eastAsia"/>
                <w:szCs w:val="21"/>
              </w:rPr>
              <w:t>1.1.6</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信息发布媒体</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szCs w:val="21"/>
              </w:rPr>
            </w:pPr>
            <w:r>
              <w:rPr>
                <w:rFonts w:hint="eastAsia"/>
                <w:szCs w:val="21"/>
              </w:rPr>
              <w:t>深圳龙达招标网http://www.szldzb.com</w:t>
            </w:r>
          </w:p>
          <w:p>
            <w:pPr>
              <w:spacing w:line="400" w:lineRule="exact"/>
              <w:rPr>
                <w:szCs w:val="21"/>
              </w:rPr>
            </w:pPr>
            <w:r>
              <w:rPr>
                <w:rFonts w:hint="eastAsia"/>
              </w:rPr>
              <w:t>深圳公共资源交易网https://www.szggzy.com/</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1.2.1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资金来源</w:t>
            </w:r>
            <w:r>
              <w:rPr>
                <w:rFonts w:hint="eastAsia"/>
                <w:szCs w:val="21"/>
              </w:rPr>
              <w:t>及比例</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eastAsia="宋体"/>
                <w:szCs w:val="21"/>
              </w:rPr>
            </w:pPr>
            <w:r>
              <w:rPr>
                <w:rFonts w:hint="eastAsia"/>
                <w:szCs w:val="21"/>
              </w:rPr>
              <w:t>100%财政性资金</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1.2.2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资金</w:t>
            </w:r>
            <w:r>
              <w:rPr>
                <w:szCs w:val="21"/>
              </w:rPr>
              <w:t>落实情况</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eastAsia="宋体"/>
                <w:szCs w:val="21"/>
              </w:rPr>
            </w:pPr>
            <w:r>
              <w:rPr>
                <w:rFonts w:hint="eastAsia"/>
                <w:szCs w:val="21"/>
              </w:rPr>
              <w:t>已落实</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w:t>
            </w:r>
            <w:r>
              <w:rPr>
                <w:rFonts w:hint="eastAsia"/>
                <w:szCs w:val="21"/>
              </w:rPr>
              <w:t>3</w:t>
            </w:r>
            <w:r>
              <w:rPr>
                <w:szCs w:val="21"/>
              </w:rPr>
              <w:t>.1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hint="eastAsia"/>
                <w:szCs w:val="21"/>
              </w:rPr>
              <w:t>投标人的特定资格条件</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rFonts w:eastAsia="宋体"/>
                <w:szCs w:val="21"/>
              </w:rPr>
            </w:pPr>
            <w:r>
              <w:rPr>
                <w:rFonts w:ascii="楷体" w:eastAsia="楷体" w:hAnsi="楷体" w:cs="楷体" w:hint="eastAsia"/>
                <w:color w:val="366091"/>
              </w:rPr>
              <w:t>与招标公告一致。</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hint="eastAsia"/>
                <w:szCs w:val="21"/>
              </w:rPr>
              <w:t>1.5.3</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进口产品采购</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1"/>
              </w:rPr>
            </w:pPr>
            <w:r>
              <w:rPr>
                <w:rFonts w:ascii="仿宋" w:eastAsia="仿宋" w:hAnsi="仿宋" w:cs="仿宋" w:hint="eastAsia"/>
              </w:rPr>
              <w:t>■</w:t>
            </w:r>
            <w:r>
              <w:rPr>
                <w:rFonts w:ascii="Times New Roman" w:hint="eastAsia"/>
                <w:sz w:val="21"/>
                <w:szCs w:val="21"/>
              </w:rPr>
              <w:t>不允许</w:t>
            </w:r>
          </w:p>
          <w:p>
            <w:pPr>
              <w:spacing w:line="400" w:lineRule="exact"/>
              <w:rPr>
                <w:szCs w:val="21"/>
              </w:rPr>
            </w:pPr>
            <w:r>
              <w:rPr>
                <w:rFonts w:eastAsia="宋体" w:hAnsi="Calibri" w:cs="Times New Roman" w:hint="eastAsia"/>
                <w:szCs w:val="21"/>
              </w:rPr>
              <w:t>□允许，</w:t>
            </w:r>
            <w:r>
              <w:rPr>
                <w:szCs w:val="21"/>
              </w:rPr>
              <w:t>但不限制符合招标要求的国内产品参与采购竞争。采购进口产品时将优先考虑向我国企业转让技术、提供培训服务及其他补偿贸易措施，与我国企业签订消化吸收再创新方案的供应商的进口产品。</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w:t>
            </w:r>
            <w:r>
              <w:rPr>
                <w:rFonts w:hint="eastAsia"/>
                <w:szCs w:val="21"/>
              </w:rPr>
              <w:t>10</w:t>
            </w:r>
            <w:r>
              <w:rPr>
                <w:szCs w:val="21"/>
              </w:rPr>
              <w:t>.1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踏勘现场</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1"/>
              </w:rPr>
            </w:pPr>
            <w:r>
              <w:rPr>
                <w:rFonts w:ascii="仿宋" w:eastAsia="仿宋" w:hAnsi="仿宋" w:cs="仿宋" w:hint="eastAsia"/>
              </w:rPr>
              <w:t>■</w:t>
            </w:r>
            <w:r>
              <w:rPr>
                <w:rFonts w:ascii="Times New Roman" w:hint="eastAsia"/>
                <w:sz w:val="21"/>
                <w:szCs w:val="21"/>
              </w:rPr>
              <w:t>不组织</w:t>
            </w:r>
          </w:p>
          <w:p>
            <w:pPr>
              <w:spacing w:line="400" w:lineRule="exact"/>
              <w:rPr>
                <w:szCs w:val="21"/>
              </w:rPr>
            </w:pPr>
            <w:r>
              <w:rPr>
                <w:sz w:val="32"/>
                <w:szCs w:val="32"/>
              </w:rPr>
              <w:t>□</w:t>
            </w:r>
            <w:r>
              <w:rPr>
                <w:rFonts w:hint="eastAsia"/>
                <w:szCs w:val="21"/>
              </w:rPr>
              <w:t>组织，踏勘时间：</w:t>
            </w:r>
          </w:p>
          <w:p>
            <w:pPr>
              <w:spacing w:line="400" w:lineRule="exact"/>
              <w:rPr>
                <w:szCs w:val="21"/>
              </w:rPr>
            </w:pPr>
            <w:r>
              <w:rPr>
                <w:rFonts w:hint="eastAsia"/>
                <w:szCs w:val="21"/>
              </w:rPr>
              <w:t xml:space="preserve">        踏勘集中地点：</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1.</w:t>
            </w:r>
            <w:r>
              <w:rPr>
                <w:rFonts w:hint="eastAsia"/>
                <w:szCs w:val="21"/>
              </w:rPr>
              <w:t>11.1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投标预备会</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1"/>
              </w:rPr>
            </w:pPr>
            <w:r>
              <w:rPr>
                <w:rFonts w:ascii="仿宋" w:eastAsia="仿宋" w:hAnsi="仿宋" w:cs="仿宋" w:hint="eastAsia"/>
              </w:rPr>
              <w:t>■</w:t>
            </w:r>
            <w:r>
              <w:rPr>
                <w:rFonts w:ascii="Times New Roman" w:hint="eastAsia"/>
                <w:sz w:val="21"/>
                <w:szCs w:val="21"/>
              </w:rPr>
              <w:t>不召开</w:t>
            </w:r>
          </w:p>
          <w:p>
            <w:pPr>
              <w:spacing w:line="400" w:lineRule="exact"/>
              <w:rPr>
                <w:szCs w:val="21"/>
              </w:rPr>
            </w:pPr>
            <w:r>
              <w:rPr>
                <w:sz w:val="32"/>
                <w:szCs w:val="32"/>
              </w:rPr>
              <w:t>□</w:t>
            </w:r>
            <w:r>
              <w:rPr>
                <w:rFonts w:hint="eastAsia"/>
                <w:szCs w:val="21"/>
              </w:rPr>
              <w:t>召开，召开时间：</w:t>
            </w:r>
          </w:p>
          <w:p>
            <w:pPr>
              <w:pStyle w:val="BodyText3"/>
              <w:spacing w:line="400" w:lineRule="exact"/>
              <w:rPr>
                <w:rFonts w:ascii="Times New Roman"/>
                <w:sz w:val="32"/>
                <w:szCs w:val="32"/>
              </w:rPr>
            </w:pPr>
            <w:r>
              <w:rPr>
                <w:rFonts w:ascii="Times New Roman" w:hint="eastAsia"/>
                <w:sz w:val="21"/>
                <w:szCs w:val="21"/>
              </w:rPr>
              <w:t>召开地点：</w:t>
            </w:r>
          </w:p>
        </w:tc>
      </w:tr>
      <w:tr>
        <w:tblPrEx>
          <w:tblW w:w="0" w:type="auto"/>
          <w:tblInd w:w="0" w:type="dxa"/>
          <w:tblLayout w:type="fixed"/>
          <w:tblCellMar>
            <w:top w:w="0" w:type="dxa"/>
            <w:left w:w="108" w:type="dxa"/>
            <w:bottom w:w="0" w:type="dxa"/>
            <w:right w:w="108" w:type="dxa"/>
          </w:tblCellMar>
        </w:tblPrEx>
        <w:trPr>
          <w:trHeight w:val="586"/>
        </w:trPr>
        <w:tc>
          <w:tcPr>
            <w:tcW w:w="852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ascii="黑体" w:eastAsia="黑体" w:hAnsi="黑体" w:cs="黑体" w:hint="eastAsia"/>
                <w:b/>
                <w:sz w:val="24"/>
              </w:rPr>
              <w:t>2.招标文件</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2.2.1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投标人要求澄清招标文件的</w:t>
            </w:r>
            <w:r>
              <w:rPr>
                <w:rFonts w:hint="eastAsia"/>
                <w:szCs w:val="21"/>
              </w:rPr>
              <w:t>形式</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szCs w:val="21"/>
              </w:rPr>
            </w:pPr>
            <w:r>
              <w:rPr>
                <w:rFonts w:hint="eastAsia"/>
                <w:szCs w:val="21"/>
              </w:rPr>
              <w:t>要求澄清的形式：详见招标公告。</w:t>
            </w:r>
          </w:p>
        </w:tc>
      </w:tr>
      <w:tr>
        <w:tblPrEx>
          <w:tblW w:w="0" w:type="auto"/>
          <w:tblInd w:w="0" w:type="dxa"/>
          <w:tblLayout w:type="fixed"/>
          <w:tblCellMar>
            <w:top w:w="0" w:type="dxa"/>
            <w:left w:w="108" w:type="dxa"/>
            <w:bottom w:w="0" w:type="dxa"/>
            <w:right w:w="108" w:type="dxa"/>
          </w:tblCellMar>
        </w:tblPrEx>
        <w:trPr>
          <w:trHeight w:val="586"/>
        </w:trPr>
        <w:tc>
          <w:tcPr>
            <w:tcW w:w="852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u w:val="single"/>
              </w:rPr>
            </w:pPr>
            <w:r>
              <w:rPr>
                <w:rFonts w:ascii="黑体" w:eastAsia="黑体" w:hAnsi="黑体" w:cs="黑体" w:hint="eastAsia"/>
                <w:b/>
                <w:sz w:val="24"/>
              </w:rPr>
              <w:t>3.投标文件</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3.1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rPr>
              <w:t>投标文件的组成</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ind w:firstLine="420" w:firstLineChars="200"/>
              <w:rPr>
                <w:b/>
                <w:bCs/>
                <w:sz w:val="21"/>
                <w:szCs w:val="21"/>
              </w:rPr>
            </w:pPr>
            <w:r>
              <w:rPr>
                <w:rFonts w:hint="eastAsia"/>
              </w:rPr>
              <w:t>一、</w:t>
            </w:r>
            <w:r>
              <w:rPr>
                <w:rFonts w:hint="eastAsia"/>
                <w:sz w:val="21"/>
                <w:szCs w:val="21"/>
              </w:rPr>
              <w:t>投标函</w:t>
            </w:r>
          </w:p>
          <w:p>
            <w:pPr>
              <w:spacing w:line="400" w:lineRule="exact"/>
              <w:ind w:firstLine="420" w:firstLineChars="200"/>
              <w:rPr>
                <w:sz w:val="21"/>
                <w:szCs w:val="21"/>
              </w:rPr>
            </w:pPr>
            <w:r>
              <w:rPr>
                <w:rFonts w:hint="eastAsia"/>
                <w:sz w:val="21"/>
                <w:szCs w:val="21"/>
              </w:rPr>
              <w:t>二、政府采购投标及履约承诺函</w:t>
            </w:r>
          </w:p>
          <w:p>
            <w:pPr>
              <w:spacing w:line="400" w:lineRule="exact"/>
              <w:ind w:firstLine="420" w:firstLineChars="200"/>
              <w:rPr>
                <w:rFonts w:hint="eastAsia"/>
                <w:sz w:val="21"/>
                <w:szCs w:val="21"/>
              </w:rPr>
            </w:pPr>
            <w:r>
              <w:rPr>
                <w:rFonts w:hint="eastAsia"/>
                <w:sz w:val="21"/>
                <w:szCs w:val="21"/>
              </w:rPr>
              <w:t>三、法人或者其他组织的营业执照等证明文件</w:t>
            </w:r>
          </w:p>
          <w:p>
            <w:pPr>
              <w:spacing w:line="400" w:lineRule="exact"/>
              <w:ind w:firstLine="420" w:firstLineChars="200"/>
              <w:rPr>
                <w:rFonts w:eastAsia="宋体" w:hint="default"/>
                <w:sz w:val="21"/>
                <w:szCs w:val="21"/>
                <w:lang w:val="en-US" w:eastAsia="zh-CN"/>
              </w:rPr>
            </w:pPr>
            <w:r>
              <w:rPr>
                <w:rFonts w:hint="eastAsia"/>
                <w:sz w:val="21"/>
                <w:szCs w:val="21"/>
                <w:lang w:val="en-US" w:eastAsia="zh-CN"/>
              </w:rPr>
              <w:t>四、</w:t>
            </w:r>
            <w:r>
              <w:rPr>
                <w:rFonts w:hint="eastAsia"/>
                <w:sz w:val="21"/>
                <w:szCs w:val="21"/>
              </w:rPr>
              <w:t>开标一览表</w:t>
            </w:r>
          </w:p>
          <w:p>
            <w:pPr>
              <w:spacing w:line="400" w:lineRule="exact"/>
              <w:ind w:firstLine="420" w:firstLineChars="200"/>
              <w:rPr>
                <w:sz w:val="21"/>
                <w:szCs w:val="21"/>
              </w:rPr>
            </w:pPr>
            <w:r>
              <w:rPr>
                <w:rFonts w:hint="eastAsia"/>
                <w:sz w:val="21"/>
                <w:szCs w:val="21"/>
                <w:lang w:val="en-US" w:eastAsia="zh-CN"/>
              </w:rPr>
              <w:t>五</w:t>
            </w:r>
            <w:r>
              <w:rPr>
                <w:rFonts w:hint="eastAsia"/>
                <w:sz w:val="21"/>
                <w:szCs w:val="21"/>
              </w:rPr>
              <w:t>、</w:t>
            </w:r>
            <w:r>
              <w:rPr>
                <w:rFonts w:ascii="Times New Roman" w:eastAsia="宋体" w:hAnsi="Times New Roman" w:cs="Times New Roman" w:hint="eastAsia"/>
                <w:sz w:val="21"/>
                <w:szCs w:val="21"/>
              </w:rPr>
              <w:t>投标分项报价表</w:t>
            </w:r>
          </w:p>
          <w:p>
            <w:pPr>
              <w:spacing w:line="400" w:lineRule="exact"/>
              <w:ind w:firstLine="420" w:firstLineChars="200"/>
              <w:rPr>
                <w:rFonts w:ascii="Times New Roman" w:eastAsia="宋体" w:hAnsi="Times New Roman" w:cs="Times New Roman" w:hint="eastAsia"/>
                <w:sz w:val="21"/>
                <w:szCs w:val="21"/>
              </w:rPr>
            </w:pPr>
            <w:r>
              <w:rPr>
                <w:rFonts w:cs="Times New Roman" w:hint="eastAsia"/>
                <w:sz w:val="21"/>
                <w:szCs w:val="21"/>
                <w:lang w:val="en-US" w:eastAsia="zh-CN"/>
              </w:rPr>
              <w:t>六</w:t>
            </w:r>
            <w:r>
              <w:rPr>
                <w:rFonts w:ascii="Times New Roman" w:eastAsia="宋体" w:hAnsi="Times New Roman" w:cs="Times New Roman" w:hint="eastAsia"/>
                <w:sz w:val="21"/>
                <w:szCs w:val="21"/>
              </w:rPr>
              <w:t>、投标人通过相关认证情况（格式自拟）</w:t>
            </w:r>
          </w:p>
          <w:p>
            <w:pPr>
              <w:spacing w:line="400" w:lineRule="exact"/>
              <w:ind w:firstLine="420" w:firstLineChars="200"/>
              <w:rPr>
                <w:rFonts w:ascii="Times New Roman" w:eastAsia="宋体" w:hAnsi="Times New Roman" w:cs="Times New Roman" w:hint="eastAsia"/>
                <w:sz w:val="21"/>
                <w:szCs w:val="21"/>
              </w:rPr>
            </w:pPr>
            <w:r>
              <w:rPr>
                <w:rFonts w:cs="Times New Roman" w:hint="eastAsia"/>
                <w:sz w:val="21"/>
                <w:szCs w:val="21"/>
                <w:lang w:val="en-US" w:eastAsia="zh-CN"/>
              </w:rPr>
              <w:t>七</w:t>
            </w:r>
            <w:r>
              <w:rPr>
                <w:rFonts w:ascii="Times New Roman" w:eastAsia="宋体" w:hAnsi="Times New Roman" w:cs="Times New Roman" w:hint="eastAsia"/>
                <w:sz w:val="21"/>
                <w:szCs w:val="21"/>
              </w:rPr>
              <w:t>、投标人同类项目业绩情况（格式自拟）</w:t>
            </w:r>
          </w:p>
          <w:p>
            <w:pPr>
              <w:spacing w:line="400" w:lineRule="exact"/>
              <w:ind w:firstLine="420" w:firstLineChars="200"/>
              <w:rPr>
                <w:rFonts w:ascii="Times New Roman" w:eastAsia="宋体" w:hAnsi="Times New Roman" w:cs="Times New Roman" w:hint="eastAsia"/>
                <w:sz w:val="21"/>
                <w:szCs w:val="21"/>
                <w:lang w:val="en-US" w:eastAsia="zh-CN"/>
              </w:rPr>
            </w:pPr>
            <w:r>
              <w:rPr>
                <w:rFonts w:cs="Times New Roman" w:hint="eastAsia"/>
                <w:sz w:val="21"/>
                <w:szCs w:val="21"/>
                <w:lang w:val="en-US" w:eastAsia="zh-CN"/>
              </w:rPr>
              <w:t>八</w:t>
            </w:r>
            <w:r>
              <w:rPr>
                <w:rFonts w:ascii="Times New Roman" w:eastAsia="宋体" w:hAnsi="Times New Roman" w:cs="Times New Roman" w:hint="eastAsia"/>
                <w:sz w:val="21"/>
                <w:szCs w:val="21"/>
              </w:rPr>
              <w:t>、投标人相关荣誉情况</w:t>
            </w:r>
            <w:r>
              <w:rPr>
                <w:rFonts w:hint="eastAsia"/>
                <w:sz w:val="21"/>
                <w:szCs w:val="21"/>
                <w:lang w:eastAsia="zh-CN"/>
              </w:rPr>
              <w:t>（</w:t>
            </w:r>
            <w:r>
              <w:rPr>
                <w:rFonts w:hint="eastAsia"/>
                <w:sz w:val="21"/>
                <w:szCs w:val="21"/>
                <w:lang w:val="en-US" w:eastAsia="zh-CN"/>
              </w:rPr>
              <w:t>格式自拟</w:t>
            </w:r>
            <w:r>
              <w:rPr>
                <w:rFonts w:hint="eastAsia"/>
                <w:sz w:val="21"/>
                <w:szCs w:val="21"/>
                <w:lang w:eastAsia="zh-CN"/>
              </w:rPr>
              <w:t>）</w:t>
            </w:r>
          </w:p>
          <w:p>
            <w:pPr>
              <w:spacing w:line="400" w:lineRule="exact"/>
              <w:ind w:firstLine="420" w:firstLineChars="200"/>
              <w:rPr>
                <w:rFonts w:ascii="楷体" w:eastAsia="楷体" w:hAnsi="楷体" w:cs="楷体"/>
                <w:color w:val="366091"/>
                <w:sz w:val="21"/>
                <w:szCs w:val="21"/>
              </w:rPr>
            </w:pPr>
            <w:r>
              <w:rPr>
                <w:rFonts w:ascii="Times New Roman" w:eastAsia="宋体" w:hAnsi="Times New Roman" w:cs="Times New Roman" w:hint="eastAsia"/>
                <w:sz w:val="21"/>
                <w:szCs w:val="21"/>
                <w:lang w:val="en-US" w:eastAsia="zh-CN"/>
              </w:rPr>
              <w:t>九、</w:t>
            </w:r>
            <w:r>
              <w:rPr>
                <w:rFonts w:cs="Times New Roman" w:hint="eastAsia"/>
                <w:sz w:val="21"/>
                <w:szCs w:val="21"/>
                <w:lang w:val="en-US" w:eastAsia="zh-CN"/>
              </w:rPr>
              <w:t>中小企业</w:t>
            </w:r>
            <w:r>
              <w:rPr>
                <w:rFonts w:ascii="Times New Roman" w:eastAsia="宋体" w:hAnsi="Times New Roman" w:cs="Times New Roman" w:hint="eastAsia"/>
                <w:sz w:val="21"/>
                <w:szCs w:val="21"/>
                <w:lang w:val="en-US" w:eastAsia="zh-CN"/>
              </w:rPr>
              <w:t>声明</w:t>
            </w:r>
            <w:r>
              <w:rPr>
                <w:sz w:val="21"/>
                <w:szCs w:val="21"/>
              </w:rPr>
              <w:t>函</w:t>
            </w:r>
          </w:p>
          <w:p>
            <w:pPr>
              <w:spacing w:line="400" w:lineRule="exact"/>
              <w:ind w:firstLine="420" w:firstLineChars="200"/>
              <w:rPr>
                <w:rFonts w:ascii="Times New Roman" w:eastAsia="宋体" w:hAnsi="Times New Roman" w:cs="Times New Roman" w:hint="eastAsia"/>
                <w:sz w:val="21"/>
                <w:szCs w:val="21"/>
                <w:lang w:val="en-US" w:eastAsia="zh-CN"/>
              </w:rPr>
            </w:pPr>
            <w:r>
              <w:rPr>
                <w:rFonts w:hint="eastAsia"/>
                <w:sz w:val="21"/>
                <w:szCs w:val="21"/>
              </w:rPr>
              <w:t>十、</w:t>
            </w:r>
            <w:r>
              <w:rPr>
                <w:rFonts w:ascii="Times New Roman" w:eastAsia="宋体" w:hAnsi="Times New Roman" w:cs="Times New Roman" w:hint="eastAsia"/>
                <w:sz w:val="21"/>
                <w:szCs w:val="21"/>
                <w:lang w:eastAsia="zh-CN"/>
              </w:rPr>
              <w:t>政府采购违法行为风险知悉确认书</w:t>
            </w:r>
          </w:p>
          <w:p>
            <w:pPr>
              <w:spacing w:line="400" w:lineRule="exact"/>
              <w:ind w:firstLine="420" w:firstLineChars="200"/>
            </w:pPr>
            <w:r>
              <w:rPr>
                <w:rFonts w:hint="eastAsia"/>
                <w:lang w:val="en-US" w:eastAsia="zh-CN"/>
              </w:rPr>
              <w:t>十一、</w:t>
            </w:r>
            <w:r>
              <w:rPr>
                <w:rFonts w:hint="eastAsia"/>
              </w:rPr>
              <w:t>其他招标文件要求的内容及投标人认为需要补充的内容（格式自拟）</w:t>
            </w:r>
          </w:p>
          <w:p>
            <w:pPr>
              <w:spacing w:line="400" w:lineRule="exact"/>
            </w:pPr>
          </w:p>
          <w:p>
            <w:pPr>
              <w:spacing w:line="400" w:lineRule="exact"/>
            </w:pPr>
            <w:r>
              <w:rPr>
                <w:rFonts w:ascii="黑体" w:eastAsia="黑体" w:hAnsi="黑体" w:cs="黑体" w:hint="eastAsia"/>
              </w:rPr>
              <w:t>非信息公开部分</w:t>
            </w:r>
          </w:p>
          <w:p>
            <w:pPr>
              <w:spacing w:line="400" w:lineRule="exact"/>
              <w:ind w:firstLine="420" w:firstLineChars="200"/>
              <w:rPr>
                <w:rFonts w:ascii="Times New Roman" w:eastAsia="宋体" w:hAnsi="Times New Roman" w:cs="Times New Roman" w:hint="eastAsia"/>
              </w:rPr>
            </w:pPr>
            <w:r>
              <w:rPr>
                <w:rFonts w:ascii="Times New Roman" w:eastAsia="宋体" w:hAnsi="Times New Roman" w:cs="Times New Roman" w:hint="eastAsia"/>
              </w:rPr>
              <w:t>一、法定代表人（单位负责人）证明书</w:t>
            </w:r>
          </w:p>
          <w:p>
            <w:pPr>
              <w:spacing w:line="400" w:lineRule="exact"/>
              <w:ind w:firstLine="420" w:firstLineChars="200"/>
              <w:rPr>
                <w:rFonts w:ascii="Times New Roman" w:eastAsia="宋体" w:hAnsi="Times New Roman" w:cs="Times New Roman" w:hint="eastAsia"/>
              </w:rPr>
            </w:pPr>
            <w:r>
              <w:rPr>
                <w:rFonts w:ascii="Times New Roman" w:eastAsia="宋体" w:hAnsi="Times New Roman" w:cs="Times New Roman" w:hint="eastAsia"/>
              </w:rPr>
              <w:t>二、授权委托书</w:t>
            </w:r>
          </w:p>
          <w:p>
            <w:pPr>
              <w:spacing w:line="400" w:lineRule="exact"/>
              <w:ind w:firstLine="420" w:firstLineChars="200"/>
              <w:rPr>
                <w:rFonts w:eastAsia="宋体" w:hint="eastAsia"/>
                <w:lang w:val="en-US" w:eastAsia="zh-CN"/>
              </w:rPr>
            </w:pPr>
            <w:r>
              <w:rPr>
                <w:rFonts w:ascii="Times New Roman" w:eastAsia="宋体" w:hAnsi="Times New Roman" w:cs="Times New Roman" w:hint="eastAsia"/>
                <w:lang w:val="en-US" w:eastAsia="zh-CN"/>
              </w:rPr>
              <w:t>三、</w:t>
            </w:r>
            <w:r>
              <w:rPr>
                <w:rFonts w:ascii="Times New Roman" w:eastAsia="宋体" w:hAnsi="Times New Roman" w:cs="Times New Roman" w:hint="eastAsia"/>
              </w:rPr>
              <w:t>供应商基本情况表</w:t>
            </w:r>
          </w:p>
          <w:p>
            <w:pPr>
              <w:spacing w:line="400" w:lineRule="exact"/>
              <w:ind w:firstLine="420" w:firstLineChars="200"/>
            </w:pPr>
            <w:r>
              <w:rPr>
                <w:rFonts w:hint="eastAsia"/>
                <w:lang w:val="en-US" w:eastAsia="zh-CN"/>
              </w:rPr>
              <w:t>四</w:t>
            </w:r>
            <w:r>
              <w:rPr>
                <w:rFonts w:hint="eastAsia"/>
              </w:rPr>
              <w:t>、技术和商务要求偏差表</w:t>
            </w:r>
          </w:p>
          <w:p>
            <w:pPr>
              <w:spacing w:line="400" w:lineRule="exact"/>
              <w:ind w:firstLine="420" w:firstLineChars="200"/>
            </w:pPr>
            <w:r>
              <w:rPr>
                <w:rFonts w:hint="eastAsia"/>
                <w:lang w:val="en-US" w:eastAsia="zh-CN"/>
              </w:rPr>
              <w:t>五</w:t>
            </w:r>
            <w:r>
              <w:rPr>
                <w:rFonts w:hint="eastAsia"/>
              </w:rPr>
              <w:t>、</w:t>
            </w:r>
            <w:r>
              <w:rPr>
                <w:rFonts w:ascii="宋体" w:eastAsia="宋体" w:hAnsi="宋体" w:cs="宋体" w:hint="eastAsia"/>
                <w:szCs w:val="21"/>
              </w:rPr>
              <w:t>实施方案</w:t>
            </w:r>
            <w:r>
              <w:rPr>
                <w:rFonts w:hint="eastAsia"/>
                <w:lang w:eastAsia="zh-CN"/>
              </w:rPr>
              <w:t>（</w:t>
            </w:r>
            <w:r>
              <w:rPr>
                <w:rFonts w:hint="eastAsia"/>
                <w:lang w:val="en-US" w:eastAsia="zh-CN"/>
              </w:rPr>
              <w:t>格式自拟</w:t>
            </w:r>
            <w:r>
              <w:rPr>
                <w:rFonts w:hint="eastAsia"/>
                <w:lang w:eastAsia="zh-CN"/>
              </w:rPr>
              <w:t>）</w:t>
            </w:r>
          </w:p>
          <w:p>
            <w:pPr>
              <w:spacing w:line="400" w:lineRule="exact"/>
              <w:ind w:firstLine="420" w:firstLineChars="200"/>
              <w:rPr>
                <w:rFonts w:hint="eastAsia"/>
              </w:rPr>
            </w:pPr>
            <w:r>
              <w:rPr>
                <w:rFonts w:hint="eastAsia"/>
                <w:lang w:val="en-US" w:eastAsia="zh-CN"/>
              </w:rPr>
              <w:t>六</w:t>
            </w:r>
            <w:r>
              <w:rPr>
                <w:rFonts w:hint="eastAsia"/>
              </w:rPr>
              <w:t>、</w:t>
            </w:r>
            <w:r>
              <w:rPr>
                <w:rFonts w:ascii="宋体" w:eastAsia="宋体" w:hAnsi="宋体" w:cs="宋体" w:hint="eastAsia"/>
                <w:szCs w:val="21"/>
              </w:rPr>
              <w:t>项目重点难点分析、应对措施及相关的合理化建议</w:t>
            </w:r>
            <w:r>
              <w:rPr>
                <w:rFonts w:ascii="宋体" w:eastAsia="宋体" w:hAnsi="宋体" w:cs="宋体" w:hint="eastAsia"/>
                <w:kern w:val="0"/>
                <w:sz w:val="21"/>
                <w:szCs w:val="21"/>
                <w:lang w:val="en-US" w:eastAsia="zh-CN" w:bidi="ar-SA"/>
              </w:rPr>
              <w:t>（格式自拟）</w:t>
            </w:r>
          </w:p>
          <w:p>
            <w:pPr>
              <w:spacing w:line="400" w:lineRule="exact"/>
              <w:ind w:firstLine="420" w:firstLineChars="200"/>
              <w:rPr>
                <w:rFonts w:eastAsia="宋体" w:hint="eastAsia"/>
                <w:lang w:val="en-US" w:eastAsia="zh-CN"/>
              </w:rPr>
            </w:pPr>
            <w:r>
              <w:rPr>
                <w:rFonts w:hint="eastAsia"/>
                <w:lang w:val="en-US" w:eastAsia="zh-CN"/>
              </w:rPr>
              <w:t>七、</w:t>
            </w:r>
            <w:r>
              <w:rPr>
                <w:rFonts w:ascii="宋体" w:eastAsia="宋体" w:hAnsi="宋体" w:cs="宋体" w:hint="eastAsia"/>
                <w:sz w:val="21"/>
                <w:szCs w:val="21"/>
              </w:rPr>
              <w:t>质量（完成时间、安全）保障措施及方案</w:t>
            </w:r>
            <w:r>
              <w:rPr>
                <w:rFonts w:hint="eastAsia"/>
                <w:lang w:eastAsia="zh-CN"/>
              </w:rPr>
              <w:t>（</w:t>
            </w:r>
            <w:r>
              <w:rPr>
                <w:rFonts w:hint="eastAsia"/>
                <w:lang w:val="en-US" w:eastAsia="zh-CN"/>
              </w:rPr>
              <w:t>格式自拟</w:t>
            </w:r>
            <w:r>
              <w:rPr>
                <w:rFonts w:hint="eastAsia"/>
                <w:lang w:eastAsia="zh-CN"/>
              </w:rPr>
              <w:t>）</w:t>
            </w:r>
          </w:p>
          <w:p>
            <w:pPr>
              <w:spacing w:line="400" w:lineRule="exact"/>
              <w:ind w:firstLine="420" w:firstLineChars="200"/>
              <w:rPr>
                <w:rFonts w:eastAsia="宋体" w:hint="eastAsia"/>
                <w:lang w:val="en-US" w:eastAsia="zh-CN"/>
              </w:rPr>
            </w:pPr>
            <w:r>
              <w:rPr>
                <w:rFonts w:hint="eastAsia"/>
                <w:lang w:val="en-US" w:eastAsia="zh-CN"/>
              </w:rPr>
              <w:t>八、</w:t>
            </w:r>
            <w:r>
              <w:rPr>
                <w:rFonts w:ascii="宋体" w:eastAsia="宋体" w:hAnsi="宋体" w:cs="宋体" w:hint="eastAsia"/>
                <w:szCs w:val="21"/>
              </w:rPr>
              <w:t>拟安排的项目负责人情况（仅限一人）</w:t>
            </w:r>
          </w:p>
          <w:p>
            <w:pPr>
              <w:spacing w:line="400" w:lineRule="exact"/>
              <w:ind w:firstLine="420" w:firstLineChars="200"/>
              <w:rPr>
                <w:rFonts w:hint="default"/>
                <w:lang w:val="en-US" w:eastAsia="zh-CN"/>
              </w:rPr>
            </w:pPr>
            <w:r>
              <w:rPr>
                <w:rFonts w:hint="eastAsia"/>
                <w:lang w:val="en-US" w:eastAsia="zh-CN"/>
              </w:rPr>
              <w:t>九、</w:t>
            </w:r>
            <w:r>
              <w:rPr>
                <w:rFonts w:ascii="宋体" w:eastAsia="宋体" w:hAnsi="宋体" w:cs="宋体" w:hint="eastAsia"/>
                <w:szCs w:val="21"/>
              </w:rPr>
              <w:t>拟安排的项目主要团队成员（主要技术人员）情况（项目负责人除外）</w:t>
            </w:r>
            <w:r>
              <w:rPr>
                <w:rFonts w:hint="eastAsia"/>
                <w:lang w:eastAsia="zh-CN"/>
              </w:rPr>
              <w:t>（</w:t>
            </w:r>
            <w:r>
              <w:rPr>
                <w:rFonts w:hint="eastAsia"/>
                <w:lang w:val="en-US" w:eastAsia="zh-CN"/>
              </w:rPr>
              <w:t>格式自拟</w:t>
            </w:r>
            <w:r>
              <w:rPr>
                <w:rFonts w:hint="eastAsia"/>
                <w:lang w:eastAsia="zh-CN"/>
              </w:rPr>
              <w:t>）</w:t>
            </w:r>
          </w:p>
          <w:p>
            <w:pPr>
              <w:spacing w:line="400" w:lineRule="exact"/>
              <w:ind w:firstLine="420" w:firstLineChars="200"/>
              <w:rPr>
                <w:szCs w:val="21"/>
              </w:rPr>
            </w:pPr>
            <w:r>
              <w:rPr>
                <w:rFonts w:hint="eastAsia"/>
                <w:lang w:val="en-US" w:eastAsia="zh-CN"/>
              </w:rPr>
              <w:t>十、</w:t>
            </w:r>
            <w:r>
              <w:rPr>
                <w:rFonts w:hint="eastAsia"/>
                <w:lang w:eastAsia="zh-CN"/>
              </w:rPr>
              <w:t>、</w:t>
            </w:r>
            <w:r>
              <w:rPr>
                <w:rFonts w:hint="eastAsia"/>
              </w:rPr>
              <w:t>环保标志产品、节能产品政策适用性说明</w:t>
            </w:r>
            <w:r>
              <w:rPr>
                <w:rFonts w:ascii="楷体" w:eastAsia="楷体" w:hAnsi="楷体" w:cs="楷体" w:hint="eastAsia"/>
                <w:color w:val="366091"/>
              </w:rPr>
              <w:t>（不适用政府采购环保标志产品、节能产品政策的不需要填写）</w:t>
            </w:r>
          </w:p>
          <w:p>
            <w:pPr>
              <w:spacing w:line="400" w:lineRule="exact"/>
              <w:ind w:firstLine="420" w:firstLineChars="200"/>
              <w:rPr>
                <w:rFonts w:hint="eastAsia"/>
              </w:rPr>
            </w:pPr>
            <w:r>
              <w:rPr>
                <w:rFonts w:hint="eastAsia"/>
                <w:szCs w:val="21"/>
                <w:lang w:val="en-US" w:eastAsia="zh-CN"/>
              </w:rPr>
              <w:t>十一</w:t>
            </w:r>
            <w:r>
              <w:rPr>
                <w:rFonts w:hint="eastAsia"/>
                <w:szCs w:val="21"/>
              </w:rPr>
              <w:t>、</w:t>
            </w:r>
            <w:r>
              <w:t>履约进度计划表</w:t>
            </w:r>
          </w:p>
          <w:p>
            <w:pPr>
              <w:spacing w:line="400" w:lineRule="exact"/>
            </w:pPr>
          </w:p>
          <w:p>
            <w:pPr>
              <w:spacing w:line="400" w:lineRule="exact"/>
              <w:rPr>
                <w:szCs w:val="21"/>
              </w:rPr>
            </w:pPr>
            <w:r>
              <w:rPr>
                <w:rFonts w:ascii="楷体" w:eastAsia="楷体" w:hAnsi="楷体" w:cs="楷体" w:hint="eastAsia"/>
                <w:color w:val="366091"/>
              </w:rPr>
              <w:t>特别提醒：投标文件正文（信息公开部分）将对外公开，投标文件附件（非信息公开部分）不公开，投标人</w:t>
            </w:r>
            <w:r>
              <w:rPr>
                <w:rFonts w:ascii="楷体" w:eastAsia="楷体" w:hAnsi="楷体" w:cs="楷体"/>
                <w:color w:val="366091"/>
              </w:rPr>
              <w:t>在</w:t>
            </w:r>
            <w:r>
              <w:rPr>
                <w:rFonts w:ascii="楷体" w:eastAsia="楷体" w:hAnsi="楷体" w:cs="楷体" w:hint="eastAsia"/>
                <w:color w:val="366091"/>
              </w:rPr>
              <w:t>使用投标书编制软件编制投标文件时</w:t>
            </w:r>
            <w:r>
              <w:rPr>
                <w:rFonts w:ascii="楷体" w:eastAsia="楷体" w:hAnsi="楷体" w:cs="楷体"/>
                <w:color w:val="366091"/>
              </w:rPr>
              <w:t>，</w:t>
            </w:r>
            <w:r>
              <w:rPr>
                <w:rFonts w:ascii="楷体" w:eastAsia="楷体" w:hAnsi="楷体" w:cs="楷体" w:hint="eastAsia"/>
                <w:color w:val="366091"/>
              </w:rPr>
              <w:t>信息公开部分必须编制于“标书”，非信息公开部分编制于“附件”。深圳市政府采购中心网站公布投标文件正文（信息公开部分）时为计算机截取信息公布，如</w:t>
            </w:r>
            <w:r>
              <w:rPr>
                <w:rFonts w:ascii="楷体" w:eastAsia="楷体" w:hAnsi="楷体" w:cs="楷体"/>
                <w:color w:val="366091"/>
              </w:rPr>
              <w:t>投标人未按招标</w:t>
            </w:r>
            <w:r>
              <w:rPr>
                <w:rFonts w:ascii="楷体" w:eastAsia="楷体" w:hAnsi="楷体" w:cs="楷体" w:hint="eastAsia"/>
                <w:color w:val="366091"/>
              </w:rPr>
              <w:t>文件</w:t>
            </w:r>
            <w:r>
              <w:rPr>
                <w:rFonts w:ascii="楷体" w:eastAsia="楷体" w:hAnsi="楷体" w:cs="楷体"/>
                <w:color w:val="366091"/>
              </w:rPr>
              <w:t>要求将需要公示的内容编制</w:t>
            </w:r>
            <w:r>
              <w:rPr>
                <w:rFonts w:ascii="楷体" w:eastAsia="楷体" w:hAnsi="楷体" w:cs="楷体" w:hint="eastAsia"/>
                <w:color w:val="366091"/>
              </w:rPr>
              <w:t>于“标书”内，将作投标无效处理；</w:t>
            </w:r>
            <w:r>
              <w:rPr>
                <w:rFonts w:ascii="楷体" w:eastAsia="楷体" w:hAnsi="楷体" w:cs="楷体"/>
                <w:color w:val="366091"/>
              </w:rPr>
              <w:t>如投标人将</w:t>
            </w:r>
            <w:r>
              <w:rPr>
                <w:rFonts w:ascii="楷体" w:eastAsia="楷体" w:hAnsi="楷体" w:cs="楷体" w:hint="eastAsia"/>
                <w:color w:val="366091"/>
              </w:rPr>
              <w:t>非信息公开部分内容</w:t>
            </w:r>
            <w:r>
              <w:rPr>
                <w:rFonts w:ascii="楷体" w:eastAsia="楷体" w:hAnsi="楷体" w:cs="楷体"/>
                <w:color w:val="366091"/>
              </w:rPr>
              <w:t>编制</w:t>
            </w:r>
            <w:r>
              <w:rPr>
                <w:rFonts w:ascii="楷体" w:eastAsia="楷体" w:hAnsi="楷体" w:cs="楷体" w:hint="eastAsia"/>
                <w:color w:val="366091"/>
              </w:rPr>
              <w:t>于“标书”内，</w:t>
            </w:r>
            <w:r>
              <w:rPr>
                <w:rFonts w:ascii="楷体" w:eastAsia="楷体" w:hAnsi="楷体" w:cs="楷体"/>
                <w:color w:val="366091"/>
              </w:rPr>
              <w:t>不会</w:t>
            </w:r>
            <w:r>
              <w:rPr>
                <w:rFonts w:ascii="楷体" w:eastAsia="楷体" w:hAnsi="楷体" w:cs="楷体" w:hint="eastAsia"/>
                <w:color w:val="366091"/>
              </w:rPr>
              <w:t>作无效投标</w:t>
            </w:r>
            <w:r>
              <w:rPr>
                <w:rFonts w:ascii="楷体" w:eastAsia="楷体" w:hAnsi="楷体" w:cs="楷体"/>
                <w:color w:val="366091"/>
              </w:rPr>
              <w:t>处理，但</w:t>
            </w:r>
            <w:r>
              <w:rPr>
                <w:rFonts w:ascii="楷体" w:eastAsia="楷体" w:hAnsi="楷体" w:cs="楷体" w:hint="eastAsia"/>
                <w:color w:val="366091"/>
              </w:rPr>
              <w:t>一切后果由投标人自行承担。</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3.</w:t>
            </w:r>
            <w:r>
              <w:rPr>
                <w:rFonts w:hint="eastAsia"/>
                <w:szCs w:val="21"/>
              </w:rPr>
              <w:t>5.1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投标有效期</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szCs w:val="21"/>
              </w:rPr>
            </w:pPr>
            <w:r>
              <w:rPr>
                <w:rFonts w:hint="eastAsia"/>
              </w:rPr>
              <w:t>投标有效期120天</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3.</w:t>
            </w:r>
            <w:r>
              <w:rPr>
                <w:rFonts w:hint="eastAsia"/>
                <w:szCs w:val="21"/>
              </w:rPr>
              <w:t>6</w:t>
            </w:r>
            <w:r>
              <w:rPr>
                <w:szCs w:val="21"/>
              </w:rPr>
              <w:t>.</w:t>
            </w:r>
            <w:r>
              <w:rPr>
                <w:rFonts w:hint="eastAsia"/>
                <w:szCs w:val="21"/>
              </w:rPr>
              <w:t>2</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投标保证金</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1"/>
              </w:rPr>
            </w:pPr>
            <w:r>
              <w:rPr>
                <w:rFonts w:ascii="仿宋" w:eastAsia="仿宋" w:hAnsi="仿宋" w:cs="仿宋" w:hint="eastAsia"/>
              </w:rPr>
              <w:t>■</w:t>
            </w:r>
            <w:r>
              <w:rPr>
                <w:rFonts w:ascii="Times New Roman" w:hint="eastAsia"/>
                <w:sz w:val="21"/>
                <w:szCs w:val="21"/>
              </w:rPr>
              <w:t>不要求递交投标保证金</w:t>
            </w:r>
          </w:p>
          <w:p>
            <w:pPr>
              <w:spacing w:line="400" w:lineRule="exact"/>
              <w:rPr>
                <w:szCs w:val="21"/>
              </w:rPr>
            </w:pPr>
            <w:r>
              <w:rPr>
                <w:rFonts w:ascii="宋体" w:eastAsia="宋体" w:hAnsi="宋体"/>
                <w:szCs w:val="21"/>
              </w:rPr>
              <w:t>□</w:t>
            </w:r>
            <w:r>
              <w:rPr>
                <w:rFonts w:hint="eastAsia"/>
                <w:szCs w:val="21"/>
              </w:rPr>
              <w:t>要求递交投标保证金</w:t>
            </w:r>
          </w:p>
        </w:tc>
      </w:tr>
      <w:tr>
        <w:tblPrEx>
          <w:tblW w:w="0" w:type="auto"/>
          <w:tblInd w:w="0" w:type="dxa"/>
          <w:tblLayout w:type="fixed"/>
          <w:tblCellMar>
            <w:top w:w="0" w:type="dxa"/>
            <w:left w:w="108" w:type="dxa"/>
            <w:bottom w:w="0" w:type="dxa"/>
            <w:right w:w="108" w:type="dxa"/>
          </w:tblCellMar>
        </w:tblPrEx>
        <w:trPr>
          <w:trHeight w:val="792"/>
        </w:trPr>
        <w:tc>
          <w:tcPr>
            <w:tcW w:w="852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ascii="黑体" w:eastAsia="黑体" w:hAnsi="黑体" w:cs="黑体" w:hint="eastAsia"/>
                <w:b/>
                <w:sz w:val="24"/>
              </w:rPr>
              <w:t>4.投标</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4.2.</w:t>
            </w:r>
            <w:r>
              <w:rPr>
                <w:rFonts w:hint="eastAsia"/>
                <w:szCs w:val="21"/>
              </w:rPr>
              <w:t>5</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是否退还投标文件</w:t>
            </w:r>
          </w:p>
        </w:tc>
        <w:tc>
          <w:tcPr>
            <w:tcW w:w="4783" w:type="dxa"/>
            <w:tcBorders>
              <w:top w:val="single" w:sz="4" w:space="0" w:color="auto"/>
              <w:left w:val="single" w:sz="4" w:space="0" w:color="auto"/>
              <w:bottom w:val="single" w:sz="4" w:space="0" w:color="auto"/>
              <w:right w:val="single" w:sz="4" w:space="0" w:color="auto"/>
            </w:tcBorders>
            <w:vAlign w:val="center"/>
          </w:tcPr>
          <w:p>
            <w:pPr>
              <w:pStyle w:val="BodyText3"/>
              <w:spacing w:line="400" w:lineRule="exact"/>
              <w:rPr>
                <w:rFonts w:ascii="Times New Roman"/>
                <w:sz w:val="21"/>
                <w:szCs w:val="21"/>
              </w:rPr>
            </w:pPr>
            <w:r>
              <w:rPr>
                <w:rFonts w:ascii="仿宋" w:eastAsia="仿宋" w:hAnsi="仿宋" w:cs="仿宋" w:hint="eastAsia"/>
              </w:rPr>
              <w:t>■</w:t>
            </w:r>
            <w:r>
              <w:rPr>
                <w:rFonts w:ascii="Times New Roman" w:hint="eastAsia"/>
                <w:sz w:val="21"/>
                <w:szCs w:val="21"/>
              </w:rPr>
              <w:t>否</w:t>
            </w:r>
          </w:p>
          <w:p>
            <w:pPr>
              <w:spacing w:line="400" w:lineRule="exact"/>
              <w:rPr>
                <w:szCs w:val="21"/>
              </w:rPr>
            </w:pPr>
            <w:r>
              <w:rPr>
                <w:sz w:val="32"/>
                <w:szCs w:val="32"/>
              </w:rPr>
              <w:t>□</w:t>
            </w:r>
            <w:r>
              <w:rPr>
                <w:rFonts w:hint="eastAsia"/>
                <w:szCs w:val="21"/>
              </w:rPr>
              <w:t>是</w:t>
            </w:r>
          </w:p>
        </w:tc>
      </w:tr>
      <w:tr>
        <w:tblPrEx>
          <w:tblW w:w="0" w:type="auto"/>
          <w:tblInd w:w="0" w:type="dxa"/>
          <w:tblLayout w:type="fixed"/>
          <w:tblCellMar>
            <w:top w:w="0" w:type="dxa"/>
            <w:left w:w="108" w:type="dxa"/>
            <w:bottom w:w="0" w:type="dxa"/>
            <w:right w:w="108" w:type="dxa"/>
          </w:tblCellMar>
        </w:tblPrEx>
        <w:trPr>
          <w:trHeight w:val="586"/>
        </w:trPr>
        <w:tc>
          <w:tcPr>
            <w:tcW w:w="852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 w:val="32"/>
                <w:szCs w:val="32"/>
              </w:rPr>
            </w:pPr>
            <w:r>
              <w:rPr>
                <w:rFonts w:ascii="黑体" w:eastAsia="黑体" w:hAnsi="黑体" w:cs="黑体" w:hint="eastAsia"/>
                <w:b/>
                <w:sz w:val="24"/>
              </w:rPr>
              <w:t>5.开标</w:t>
            </w:r>
          </w:p>
        </w:tc>
      </w:tr>
      <w:tr>
        <w:tblPrEx>
          <w:tblW w:w="0" w:type="auto"/>
          <w:tblInd w:w="0" w:type="dxa"/>
          <w:tblLayout w:type="fixed"/>
          <w:tblCellMar>
            <w:top w:w="0" w:type="dxa"/>
            <w:left w:w="108" w:type="dxa"/>
            <w:bottom w:w="0" w:type="dxa"/>
            <w:right w:w="108" w:type="dxa"/>
          </w:tblCellMar>
        </w:tblPrEx>
        <w:trPr>
          <w:trHeight w:val="880"/>
        </w:trPr>
        <w:tc>
          <w:tcPr>
            <w:tcW w:w="1008" w:type="dxa"/>
            <w:tcBorders>
              <w:top w:val="single" w:sz="4" w:space="0" w:color="auto"/>
              <w:left w:val="single" w:sz="4" w:space="0" w:color="auto"/>
              <w:right w:val="single" w:sz="4" w:space="0" w:color="auto"/>
            </w:tcBorders>
            <w:vAlign w:val="center"/>
          </w:tcPr>
          <w:p>
            <w:pPr>
              <w:spacing w:line="400" w:lineRule="exact"/>
              <w:jc w:val="center"/>
              <w:rPr>
                <w:rFonts w:eastAsia="宋体"/>
                <w:szCs w:val="21"/>
              </w:rPr>
            </w:pPr>
            <w:r>
              <w:rPr>
                <w:rFonts w:hint="eastAsia"/>
                <w:szCs w:val="21"/>
              </w:rPr>
              <w:t>5.1.1</w:t>
            </w:r>
          </w:p>
        </w:tc>
        <w:tc>
          <w:tcPr>
            <w:tcW w:w="2731" w:type="dxa"/>
            <w:tcBorders>
              <w:top w:val="single" w:sz="4" w:space="0" w:color="auto"/>
              <w:left w:val="single" w:sz="4" w:space="0" w:color="auto"/>
              <w:right w:val="single" w:sz="4" w:space="0" w:color="auto"/>
            </w:tcBorders>
            <w:vAlign w:val="center"/>
          </w:tcPr>
          <w:p>
            <w:pPr>
              <w:spacing w:line="400" w:lineRule="exact"/>
              <w:jc w:val="center"/>
              <w:rPr>
                <w:szCs w:val="21"/>
              </w:rPr>
            </w:pPr>
            <w:r>
              <w:rPr>
                <w:rFonts w:hint="eastAsia"/>
                <w:szCs w:val="21"/>
              </w:rPr>
              <w:t>开标时间（投标截止时间）和地点</w:t>
            </w:r>
          </w:p>
        </w:tc>
        <w:tc>
          <w:tcPr>
            <w:tcW w:w="4783" w:type="dxa"/>
            <w:tcBorders>
              <w:top w:val="single" w:sz="4" w:space="0" w:color="auto"/>
              <w:left w:val="single" w:sz="4" w:space="0" w:color="auto"/>
              <w:right w:val="single" w:sz="4" w:space="0" w:color="auto"/>
            </w:tcBorders>
            <w:vAlign w:val="center"/>
          </w:tcPr>
          <w:p>
            <w:pPr>
              <w:spacing w:line="400" w:lineRule="exact"/>
              <w:rPr>
                <w:b/>
                <w:szCs w:val="21"/>
              </w:rPr>
            </w:pPr>
            <w:r>
              <w:rPr>
                <w:rFonts w:hint="eastAsia"/>
                <w:szCs w:val="21"/>
              </w:rPr>
              <w:t>开标时间（投标截止时间）：</w:t>
            </w:r>
            <w:r>
              <w:rPr>
                <w:rFonts w:hint="eastAsia"/>
                <w:b/>
                <w:szCs w:val="21"/>
              </w:rPr>
              <w:t>详见招标公告</w:t>
            </w:r>
          </w:p>
          <w:p>
            <w:pPr>
              <w:spacing w:line="400" w:lineRule="exact"/>
              <w:rPr>
                <w:szCs w:val="21"/>
              </w:rPr>
            </w:pPr>
            <w:r>
              <w:rPr>
                <w:szCs w:val="21"/>
              </w:rPr>
              <w:t>开标地点</w:t>
            </w:r>
            <w:r>
              <w:rPr>
                <w:rFonts w:hint="eastAsia"/>
                <w:szCs w:val="21"/>
              </w:rPr>
              <w:t>：</w:t>
            </w:r>
            <w:r>
              <w:rPr>
                <w:rFonts w:hint="eastAsia"/>
                <w:szCs w:val="21"/>
                <w:lang w:val="en-US" w:eastAsia="zh-CN"/>
              </w:rPr>
              <w:t>深圳公共资源交易网</w:t>
            </w:r>
            <w:r>
              <w:rPr>
                <w:rFonts w:hint="eastAsia"/>
                <w:szCs w:val="21"/>
              </w:rPr>
              <w:t>。</w:t>
            </w:r>
          </w:p>
        </w:tc>
      </w:tr>
      <w:tr>
        <w:tblPrEx>
          <w:tblW w:w="0" w:type="auto"/>
          <w:tblInd w:w="0" w:type="dxa"/>
          <w:tblLayout w:type="fixed"/>
          <w:tblCellMar>
            <w:top w:w="0" w:type="dxa"/>
            <w:left w:w="108" w:type="dxa"/>
            <w:bottom w:w="0" w:type="dxa"/>
            <w:right w:w="108" w:type="dxa"/>
          </w:tblCellMar>
        </w:tblPrEx>
        <w:trPr>
          <w:trHeight w:val="381"/>
        </w:trPr>
        <w:tc>
          <w:tcPr>
            <w:tcW w:w="1008" w:type="dxa"/>
            <w:tcBorders>
              <w:top w:val="single" w:sz="4" w:space="0" w:color="auto"/>
              <w:left w:val="single" w:sz="4" w:space="0" w:color="auto"/>
              <w:right w:val="single" w:sz="4" w:space="0" w:color="auto"/>
            </w:tcBorders>
            <w:vAlign w:val="center"/>
          </w:tcPr>
          <w:p>
            <w:pPr>
              <w:spacing w:line="400" w:lineRule="exact"/>
              <w:jc w:val="center"/>
              <w:rPr>
                <w:szCs w:val="21"/>
              </w:rPr>
            </w:pPr>
            <w:r>
              <w:rPr>
                <w:rFonts w:hint="eastAsia"/>
                <w:szCs w:val="21"/>
              </w:rPr>
              <w:t>5.3</w:t>
            </w:r>
          </w:p>
        </w:tc>
        <w:tc>
          <w:tcPr>
            <w:tcW w:w="2731" w:type="dxa"/>
            <w:tcBorders>
              <w:top w:val="single" w:sz="4" w:space="0" w:color="auto"/>
              <w:left w:val="single" w:sz="4" w:space="0" w:color="auto"/>
              <w:right w:val="single" w:sz="4" w:space="0" w:color="auto"/>
            </w:tcBorders>
            <w:vAlign w:val="center"/>
          </w:tcPr>
          <w:p>
            <w:pPr>
              <w:spacing w:line="400" w:lineRule="exact"/>
              <w:jc w:val="center"/>
              <w:rPr>
                <w:szCs w:val="21"/>
              </w:rPr>
            </w:pPr>
            <w:r>
              <w:rPr>
                <w:rFonts w:hint="eastAsia"/>
                <w:szCs w:val="21"/>
              </w:rPr>
              <w:t>开标程序</w:t>
            </w:r>
          </w:p>
        </w:tc>
        <w:tc>
          <w:tcPr>
            <w:tcW w:w="4783" w:type="dxa"/>
            <w:tcBorders>
              <w:top w:val="single" w:sz="4" w:space="0" w:color="auto"/>
              <w:left w:val="single" w:sz="4" w:space="0" w:color="auto"/>
              <w:right w:val="single" w:sz="4" w:space="0" w:color="auto"/>
            </w:tcBorders>
            <w:vAlign w:val="center"/>
          </w:tcPr>
          <w:p>
            <w:pPr>
              <w:spacing w:line="400" w:lineRule="exact"/>
              <w:rPr>
                <w:szCs w:val="21"/>
              </w:rPr>
            </w:pPr>
            <w:r>
              <w:rPr>
                <w:rFonts w:hint="eastAsia"/>
                <w:szCs w:val="21"/>
              </w:rPr>
              <w:t>网上开标</w:t>
            </w:r>
          </w:p>
        </w:tc>
      </w:tr>
      <w:tr>
        <w:tblPrEx>
          <w:tblW w:w="0" w:type="auto"/>
          <w:tblInd w:w="0" w:type="dxa"/>
          <w:tblLayout w:type="fixed"/>
          <w:tblCellMar>
            <w:top w:w="0" w:type="dxa"/>
            <w:left w:w="108" w:type="dxa"/>
            <w:bottom w:w="0" w:type="dxa"/>
            <w:right w:w="108" w:type="dxa"/>
          </w:tblCellMar>
        </w:tblPrEx>
        <w:trPr>
          <w:trHeight w:val="680"/>
        </w:trPr>
        <w:tc>
          <w:tcPr>
            <w:tcW w:w="8522" w:type="dxa"/>
            <w:gridSpan w:val="3"/>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ascii="黑体" w:eastAsia="黑体" w:hAnsi="黑体" w:cs="黑体" w:hint="eastAsia"/>
                <w:b/>
                <w:sz w:val="24"/>
              </w:rPr>
              <w:t>6.资格审查及评标</w:t>
            </w:r>
          </w:p>
        </w:tc>
      </w:tr>
      <w:tr>
        <w:tblPrEx>
          <w:tblW w:w="0" w:type="auto"/>
          <w:tblInd w:w="0" w:type="dxa"/>
          <w:tblLayout w:type="fixed"/>
          <w:tblCellMar>
            <w:top w:w="0" w:type="dxa"/>
            <w:left w:w="108" w:type="dxa"/>
            <w:bottom w:w="0" w:type="dxa"/>
            <w:right w:w="108" w:type="dxa"/>
          </w:tblCellMar>
        </w:tblPrEx>
        <w:trPr>
          <w:trHeight w:val="880"/>
        </w:trPr>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6.</w:t>
            </w:r>
            <w:r>
              <w:rPr>
                <w:rFonts w:hint="eastAsia"/>
                <w:szCs w:val="21"/>
              </w:rPr>
              <w:t>2</w:t>
            </w:r>
            <w:r>
              <w:rPr>
                <w:szCs w:val="21"/>
              </w:rPr>
              <w:t>.1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评标委员会的组建</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szCs w:val="21"/>
              </w:rPr>
            </w:pPr>
            <w:r>
              <w:rPr>
                <w:szCs w:val="21"/>
              </w:rPr>
              <w:t>评标委员会</w:t>
            </w:r>
            <w:r>
              <w:rPr>
                <w:rFonts w:hint="eastAsia"/>
                <w:szCs w:val="21"/>
              </w:rPr>
              <w:t>构成：</w:t>
            </w:r>
          </w:p>
          <w:p>
            <w:pPr>
              <w:spacing w:line="400" w:lineRule="exact"/>
              <w:rPr>
                <w:szCs w:val="21"/>
              </w:rPr>
            </w:pPr>
            <w:r>
              <w:rPr>
                <w:rFonts w:hint="eastAsia"/>
                <w:szCs w:val="21"/>
              </w:rPr>
              <w:t>适用评标定标分离的：由5人以上单数的专家组成；</w:t>
            </w:r>
          </w:p>
          <w:p>
            <w:pPr>
              <w:spacing w:line="400" w:lineRule="exact"/>
              <w:rPr>
                <w:szCs w:val="21"/>
              </w:rPr>
            </w:pPr>
            <w:r>
              <w:rPr>
                <w:rFonts w:hint="eastAsia"/>
                <w:szCs w:val="21"/>
              </w:rPr>
              <w:t>不适用评标定标分离的：</w:t>
            </w:r>
            <w:r>
              <w:rPr>
                <w:rFonts w:hint="eastAsia"/>
                <w:szCs w:val="21"/>
                <w:u w:val="single"/>
              </w:rPr>
              <w:t>5</w:t>
            </w:r>
            <w:r>
              <w:rPr>
                <w:rFonts w:hint="eastAsia"/>
                <w:szCs w:val="21"/>
              </w:rPr>
              <w:t>人，其中</w:t>
            </w:r>
            <w:r>
              <w:rPr>
                <w:rFonts w:hint="eastAsia"/>
                <w:color w:val="5F497A"/>
                <w:szCs w:val="21"/>
              </w:rPr>
              <w:t>采购人</w:t>
            </w:r>
            <w:r>
              <w:rPr>
                <w:rFonts w:hint="eastAsia"/>
                <w:szCs w:val="21"/>
              </w:rPr>
              <w:t>代表</w:t>
            </w:r>
            <w:r>
              <w:rPr>
                <w:rFonts w:hint="eastAsia"/>
                <w:szCs w:val="21"/>
                <w:u w:val="single"/>
              </w:rPr>
              <w:t>1</w:t>
            </w:r>
            <w:r>
              <w:rPr>
                <w:rFonts w:hint="eastAsia"/>
                <w:szCs w:val="21"/>
              </w:rPr>
              <w:t>人，专家</w:t>
            </w:r>
            <w:r>
              <w:rPr>
                <w:rFonts w:hint="eastAsia"/>
                <w:szCs w:val="21"/>
                <w:u w:val="single"/>
              </w:rPr>
              <w:t>4</w:t>
            </w:r>
            <w:r>
              <w:rPr>
                <w:rFonts w:hint="eastAsia"/>
                <w:szCs w:val="21"/>
              </w:rPr>
              <w:t>人；</w:t>
            </w:r>
          </w:p>
          <w:p>
            <w:pPr>
              <w:spacing w:line="400" w:lineRule="exact"/>
              <w:rPr>
                <w:szCs w:val="21"/>
              </w:rPr>
            </w:pPr>
            <w:r>
              <w:rPr>
                <w:szCs w:val="21"/>
              </w:rPr>
              <w:t>评标专家确定方式</w:t>
            </w:r>
            <w:r>
              <w:rPr>
                <w:rFonts w:hint="eastAsia"/>
                <w:szCs w:val="21"/>
              </w:rPr>
              <w:t>：专家库中抽取。</w:t>
            </w:r>
          </w:p>
        </w:tc>
      </w:tr>
      <w:tr>
        <w:tblPrEx>
          <w:tblW w:w="0" w:type="auto"/>
          <w:tblInd w:w="0" w:type="dxa"/>
          <w:tblLayout w:type="fixed"/>
          <w:tblCellMar>
            <w:top w:w="0" w:type="dxa"/>
            <w:left w:w="108" w:type="dxa"/>
            <w:bottom w:w="0" w:type="dxa"/>
            <w:right w:w="108" w:type="dxa"/>
          </w:tblCellMar>
        </w:tblPrEx>
        <w:trPr>
          <w:trHeight w:val="736"/>
        </w:trPr>
        <w:tc>
          <w:tcPr>
            <w:tcW w:w="8522" w:type="dxa"/>
            <w:gridSpan w:val="3"/>
            <w:tcBorders>
              <w:top w:val="single" w:sz="4" w:space="0" w:color="auto"/>
              <w:left w:val="single" w:sz="4" w:space="0" w:color="auto"/>
              <w:right w:val="single" w:sz="4" w:space="0" w:color="auto"/>
            </w:tcBorders>
            <w:vAlign w:val="center"/>
          </w:tcPr>
          <w:p>
            <w:pPr>
              <w:spacing w:line="400" w:lineRule="exact"/>
              <w:jc w:val="center"/>
              <w:rPr>
                <w:rFonts w:eastAsia="宋体"/>
                <w:szCs w:val="21"/>
              </w:rPr>
            </w:pPr>
            <w:r>
              <w:rPr>
                <w:rFonts w:ascii="黑体" w:eastAsia="黑体" w:hAnsi="黑体" w:cs="黑体" w:hint="eastAsia"/>
                <w:b/>
                <w:sz w:val="24"/>
              </w:rPr>
              <w:t>7.合同授予</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7.</w:t>
            </w:r>
            <w:r>
              <w:rPr>
                <w:rFonts w:hint="eastAsia"/>
                <w:szCs w:val="21"/>
              </w:rPr>
              <w:t>4</w:t>
            </w:r>
            <w:r>
              <w:rPr>
                <w:szCs w:val="21"/>
              </w:rPr>
              <w:t>.1</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szCs w:val="21"/>
              </w:rPr>
              <w:t>履约担保</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szCs w:val="21"/>
              </w:rPr>
            </w:pPr>
            <w:r>
              <w:rPr>
                <w:szCs w:val="21"/>
              </w:rPr>
              <w:t>履约担保的形式：</w:t>
            </w:r>
            <w:r>
              <w:rPr>
                <w:rFonts w:hint="eastAsia"/>
                <w:szCs w:val="21"/>
              </w:rPr>
              <w:t>见投标人须知。</w:t>
            </w:r>
          </w:p>
          <w:p>
            <w:pPr>
              <w:spacing w:line="400" w:lineRule="exact"/>
              <w:rPr>
                <w:szCs w:val="21"/>
              </w:rPr>
            </w:pPr>
            <w:r>
              <w:rPr>
                <w:szCs w:val="21"/>
              </w:rPr>
              <w:t>履约担保的金额：</w:t>
            </w:r>
            <w:r>
              <w:rPr>
                <w:rFonts w:hint="eastAsia"/>
                <w:szCs w:val="21"/>
              </w:rPr>
              <w:t>见投标人须知。</w:t>
            </w:r>
          </w:p>
        </w:tc>
      </w:tr>
      <w:tr>
        <w:tblPrEx>
          <w:tblW w:w="0" w:type="auto"/>
          <w:tblInd w:w="0" w:type="dxa"/>
          <w:tblLayout w:type="fixed"/>
          <w:tblCellMar>
            <w:top w:w="0" w:type="dxa"/>
            <w:left w:w="108" w:type="dxa"/>
            <w:bottom w:w="0" w:type="dxa"/>
            <w:right w:w="108" w:type="dxa"/>
          </w:tblCellMar>
        </w:tblPrEx>
        <w:tc>
          <w:tcPr>
            <w:tcW w:w="100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rFonts w:eastAsia="宋体"/>
                <w:szCs w:val="21"/>
              </w:rPr>
            </w:pPr>
            <w:r>
              <w:rPr>
                <w:rFonts w:hint="eastAsia"/>
                <w:szCs w:val="21"/>
              </w:rPr>
              <w:t>7.7</w:t>
            </w:r>
          </w:p>
        </w:tc>
        <w:tc>
          <w:tcPr>
            <w:tcW w:w="273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szCs w:val="21"/>
              </w:rPr>
            </w:pPr>
            <w:r>
              <w:rPr>
                <w:rFonts w:hint="eastAsia"/>
                <w:szCs w:val="21"/>
              </w:rPr>
              <w:t>招标代理服务费</w:t>
            </w:r>
          </w:p>
        </w:tc>
        <w:tc>
          <w:tcPr>
            <w:tcW w:w="4783" w:type="dxa"/>
            <w:tcBorders>
              <w:top w:val="single" w:sz="4" w:space="0" w:color="auto"/>
              <w:left w:val="single" w:sz="4" w:space="0" w:color="auto"/>
              <w:bottom w:val="single" w:sz="4" w:space="0" w:color="auto"/>
              <w:right w:val="single" w:sz="4" w:space="0" w:color="auto"/>
            </w:tcBorders>
            <w:vAlign w:val="center"/>
          </w:tcPr>
          <w:p>
            <w:pPr>
              <w:spacing w:line="400" w:lineRule="exact"/>
              <w:rPr>
                <w:b/>
              </w:rPr>
            </w:pPr>
            <w:r>
              <w:rPr>
                <w:rFonts w:hint="eastAsia"/>
                <w:b/>
              </w:rPr>
              <w:t>招标代理服务费</w:t>
            </w:r>
          </w:p>
          <w:p>
            <w:pPr>
              <w:spacing w:line="400" w:lineRule="exact"/>
            </w:pPr>
            <w:r>
              <w:rPr>
                <w:rFonts w:hint="eastAsia"/>
              </w:rPr>
              <w:t>中标人须向采购代理机构按如下标准和规定缴纳招标代理服务费：</w:t>
            </w:r>
          </w:p>
          <w:p>
            <w:pPr>
              <w:numPr>
                <w:ilvl w:val="0"/>
                <w:numId w:val="10"/>
              </w:numPr>
              <w:spacing w:line="400" w:lineRule="exact"/>
            </w:pPr>
            <w:r>
              <w:rPr>
                <w:rFonts w:hint="eastAsia"/>
              </w:rPr>
              <w:t>以中标通知书中确定的中标总金额作为缴费的计算基数；</w:t>
            </w:r>
          </w:p>
          <w:p>
            <w:pPr>
              <w:spacing w:line="400" w:lineRule="exact"/>
            </w:pPr>
            <w:bookmarkStart w:id="301" w:name="OLE_LINK4"/>
            <w:r>
              <w:rPr>
                <w:rFonts w:hint="eastAsia"/>
              </w:rPr>
              <w:t>2、</w:t>
            </w:r>
            <w:bookmarkStart w:id="302" w:name="OLE_LINK5"/>
            <w:r>
              <w:rPr>
                <w:rFonts w:hint="eastAsia"/>
              </w:rPr>
              <w:t>招标代理服务费按《深圳市财政委员会关于规范深圳市社会采购代理机构管理有关事项的补充通知》（深财购[2018]27号）规定的代理费用参考标准计费</w:t>
            </w:r>
            <w:r>
              <w:rPr>
                <w:rFonts w:hint="eastAsia"/>
                <w:lang w:val="en-US" w:eastAsia="zh-CN"/>
              </w:rPr>
              <w:t>并下浮10%，预算金额小于30万元的项目，按30万元计算代理费用</w:t>
            </w:r>
            <w:r>
              <w:rPr>
                <w:rFonts w:hint="eastAsia"/>
              </w:rPr>
              <w:t>：</w:t>
            </w:r>
          </w:p>
          <w:tbl>
            <w:tblPr>
              <w:tblStyle w:val="TableNormal"/>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Pr>
            <w:tblGrid>
              <w:gridCol w:w="2218"/>
              <w:gridCol w:w="2142"/>
            </w:tblGrid>
            <w:tr>
              <w:tblPrEx>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0" w:type="dxa"/>
                  <w:left w:w="108" w:type="dxa"/>
                  <w:bottom w:w="0" w:type="dxa"/>
                  <w:right w:w="108" w:type="dxa"/>
                </w:tblCellMar>
              </w:tblPrEx>
              <w:trPr>
                <w:trHeight w:val="492"/>
                <w:jc w:val="center"/>
              </w:trPr>
              <w:tc>
                <w:tcPr>
                  <w:tcW w:w="2218" w:type="dxa"/>
                  <w:tcBorders>
                    <w:top w:val="single" w:sz="6" w:space="0" w:color="auto"/>
                    <w:left w:val="single" w:sz="6" w:space="0" w:color="auto"/>
                    <w:bottom w:val="single" w:sz="6" w:space="0" w:color="auto"/>
                    <w:right w:val="single" w:sz="6" w:space="0" w:color="auto"/>
                  </w:tcBorders>
                  <w:shd w:val="clear" w:color="auto" w:fill="D9D9D9"/>
                </w:tcPr>
                <w:p>
                  <w:pPr>
                    <w:spacing w:line="400" w:lineRule="exact"/>
                    <w:jc w:val="center"/>
                  </w:pPr>
                  <w:bookmarkEnd w:id="301"/>
                  <w:bookmarkEnd w:id="302"/>
                  <w:r>
                    <w:rPr>
                      <w:rFonts w:hint="eastAsia"/>
                    </w:rPr>
                    <w:t>中标金额（万元）</w:t>
                  </w:r>
                </w:p>
              </w:tc>
              <w:tc>
                <w:tcPr>
                  <w:tcW w:w="2142" w:type="dxa"/>
                  <w:tcBorders>
                    <w:top w:val="single" w:sz="6" w:space="0" w:color="auto"/>
                    <w:left w:val="single" w:sz="6" w:space="0" w:color="auto"/>
                    <w:bottom w:val="single" w:sz="6" w:space="0" w:color="auto"/>
                    <w:right w:val="single" w:sz="6" w:space="0" w:color="auto"/>
                  </w:tcBorders>
                  <w:shd w:val="clear" w:color="auto" w:fill="D9D9D9"/>
                  <w:vAlign w:val="center"/>
                </w:tcPr>
                <w:p>
                  <w:pPr>
                    <w:spacing w:line="400" w:lineRule="exact"/>
                    <w:jc w:val="center"/>
                  </w:pPr>
                  <w:r>
                    <w:rPr>
                      <w:rFonts w:hint="eastAsia"/>
                    </w:rPr>
                    <w:t>收费费率</w:t>
                  </w:r>
                </w:p>
              </w:tc>
            </w:tr>
            <w:tr>
              <w:tblPrEx>
                <w:tblW w:w="0" w:type="auto"/>
                <w:jc w:val="center"/>
                <w:tblLayout w:type="fixed"/>
                <w:tblCellMar>
                  <w:top w:w="0" w:type="dxa"/>
                  <w:left w:w="108" w:type="dxa"/>
                  <w:bottom w:w="0" w:type="dxa"/>
                  <w:right w:w="108" w:type="dxa"/>
                </w:tblCellMar>
              </w:tblPrEx>
              <w:trPr>
                <w:trHeight w:val="492"/>
                <w:jc w:val="center"/>
              </w:trPr>
              <w:tc>
                <w:tcPr>
                  <w:tcW w:w="2218" w:type="dxa"/>
                  <w:tcBorders>
                    <w:top w:val="single" w:sz="6" w:space="0" w:color="auto"/>
                    <w:left w:val="single" w:sz="6" w:space="0" w:color="auto"/>
                    <w:bottom w:val="single" w:sz="6" w:space="0" w:color="auto"/>
                    <w:right w:val="single" w:sz="6" w:space="0" w:color="auto"/>
                  </w:tcBorders>
                </w:tcPr>
                <w:p>
                  <w:pPr>
                    <w:spacing w:line="400" w:lineRule="exact"/>
                  </w:pPr>
                  <w:r>
                    <w:t>100</w:t>
                  </w:r>
                </w:p>
              </w:tc>
              <w:tc>
                <w:tcPr>
                  <w:tcW w:w="2142" w:type="dxa"/>
                  <w:tcBorders>
                    <w:top w:val="single" w:sz="6" w:space="0" w:color="auto"/>
                    <w:left w:val="single" w:sz="6" w:space="0" w:color="auto"/>
                    <w:bottom w:val="single" w:sz="6" w:space="0" w:color="auto"/>
                    <w:right w:val="single" w:sz="6" w:space="0" w:color="auto"/>
                  </w:tcBorders>
                  <w:vAlign w:val="center"/>
                </w:tcPr>
                <w:p>
                  <w:pPr>
                    <w:spacing w:line="400" w:lineRule="exact"/>
                    <w:jc w:val="center"/>
                  </w:pPr>
                  <w:r>
                    <w:t>1.</w:t>
                  </w:r>
                  <w:r>
                    <w:rPr>
                      <w:rFonts w:hint="eastAsia"/>
                    </w:rPr>
                    <w:t>5</w:t>
                  </w:r>
                  <w:r>
                    <w:t>%</w:t>
                  </w:r>
                </w:p>
              </w:tc>
            </w:tr>
            <w:tr>
              <w:tblPrEx>
                <w:tblW w:w="0" w:type="auto"/>
                <w:jc w:val="center"/>
                <w:tblLayout w:type="fixed"/>
                <w:tblCellMar>
                  <w:top w:w="0" w:type="dxa"/>
                  <w:left w:w="108" w:type="dxa"/>
                  <w:bottom w:w="0" w:type="dxa"/>
                  <w:right w:w="108" w:type="dxa"/>
                </w:tblCellMar>
              </w:tblPrEx>
              <w:trPr>
                <w:trHeight w:val="492"/>
                <w:jc w:val="center"/>
              </w:trPr>
              <w:tc>
                <w:tcPr>
                  <w:tcW w:w="2218" w:type="dxa"/>
                  <w:tcBorders>
                    <w:top w:val="single" w:sz="6" w:space="0" w:color="auto"/>
                    <w:left w:val="single" w:sz="6" w:space="0" w:color="auto"/>
                    <w:bottom w:val="single" w:sz="6" w:space="0" w:color="auto"/>
                    <w:right w:val="single" w:sz="6" w:space="0" w:color="auto"/>
                  </w:tcBorders>
                </w:tcPr>
                <w:p>
                  <w:pPr>
                    <w:spacing w:line="400" w:lineRule="exact"/>
                  </w:pPr>
                  <w:r>
                    <w:t>100-500</w:t>
                  </w:r>
                </w:p>
              </w:tc>
              <w:tc>
                <w:tcPr>
                  <w:tcW w:w="2142" w:type="dxa"/>
                  <w:tcBorders>
                    <w:top w:val="single" w:sz="6" w:space="0" w:color="auto"/>
                    <w:left w:val="single" w:sz="6" w:space="0" w:color="auto"/>
                    <w:bottom w:val="single" w:sz="6" w:space="0" w:color="auto"/>
                    <w:right w:val="single" w:sz="6" w:space="0" w:color="auto"/>
                  </w:tcBorders>
                  <w:vAlign w:val="center"/>
                </w:tcPr>
                <w:p>
                  <w:pPr>
                    <w:spacing w:line="400" w:lineRule="exact"/>
                    <w:jc w:val="center"/>
                  </w:pPr>
                  <w:r>
                    <w:rPr>
                      <w:rFonts w:hint="eastAsia"/>
                    </w:rPr>
                    <w:t>0.8</w:t>
                  </w:r>
                  <w:r>
                    <w:t>%</w:t>
                  </w:r>
                </w:p>
              </w:tc>
            </w:tr>
            <w:tr>
              <w:tblPrEx>
                <w:tblW w:w="0" w:type="auto"/>
                <w:jc w:val="center"/>
                <w:tblLayout w:type="fixed"/>
                <w:tblCellMar>
                  <w:top w:w="0" w:type="dxa"/>
                  <w:left w:w="108" w:type="dxa"/>
                  <w:bottom w:w="0" w:type="dxa"/>
                  <w:right w:w="108" w:type="dxa"/>
                </w:tblCellMar>
              </w:tblPrEx>
              <w:trPr>
                <w:trHeight w:val="492"/>
                <w:jc w:val="center"/>
              </w:trPr>
              <w:tc>
                <w:tcPr>
                  <w:tcW w:w="2218" w:type="dxa"/>
                  <w:tcBorders>
                    <w:top w:val="single" w:sz="6" w:space="0" w:color="auto"/>
                    <w:left w:val="single" w:sz="6" w:space="0" w:color="auto"/>
                    <w:bottom w:val="single" w:sz="6" w:space="0" w:color="auto"/>
                    <w:right w:val="single" w:sz="6" w:space="0" w:color="auto"/>
                  </w:tcBorders>
                </w:tcPr>
                <w:p>
                  <w:pPr>
                    <w:spacing w:line="400" w:lineRule="exact"/>
                  </w:pPr>
                  <w:r>
                    <w:t>500-1000</w:t>
                  </w:r>
                </w:p>
              </w:tc>
              <w:tc>
                <w:tcPr>
                  <w:tcW w:w="2142" w:type="dxa"/>
                  <w:tcBorders>
                    <w:top w:val="single" w:sz="6" w:space="0" w:color="auto"/>
                    <w:left w:val="single" w:sz="6" w:space="0" w:color="auto"/>
                    <w:bottom w:val="single" w:sz="6" w:space="0" w:color="auto"/>
                    <w:right w:val="single" w:sz="6" w:space="0" w:color="auto"/>
                  </w:tcBorders>
                  <w:vAlign w:val="center"/>
                </w:tcPr>
                <w:p>
                  <w:pPr>
                    <w:spacing w:line="400" w:lineRule="exact"/>
                    <w:jc w:val="center"/>
                  </w:pPr>
                  <w:r>
                    <w:t>0.</w:t>
                  </w:r>
                  <w:r>
                    <w:rPr>
                      <w:rFonts w:hint="eastAsia"/>
                    </w:rPr>
                    <w:t>45</w:t>
                  </w:r>
                  <w:r>
                    <w:t>%</w:t>
                  </w:r>
                </w:p>
              </w:tc>
            </w:tr>
            <w:tr>
              <w:tblPrEx>
                <w:tblW w:w="0" w:type="auto"/>
                <w:jc w:val="center"/>
                <w:tblLayout w:type="fixed"/>
                <w:tblCellMar>
                  <w:top w:w="0" w:type="dxa"/>
                  <w:left w:w="108" w:type="dxa"/>
                  <w:bottom w:w="0" w:type="dxa"/>
                  <w:right w:w="108" w:type="dxa"/>
                </w:tblCellMar>
              </w:tblPrEx>
              <w:trPr>
                <w:trHeight w:val="492"/>
                <w:jc w:val="center"/>
              </w:trPr>
              <w:tc>
                <w:tcPr>
                  <w:tcW w:w="2218" w:type="dxa"/>
                  <w:tcBorders>
                    <w:top w:val="single" w:sz="6" w:space="0" w:color="auto"/>
                    <w:left w:val="single" w:sz="6" w:space="0" w:color="auto"/>
                    <w:bottom w:val="single" w:sz="6" w:space="0" w:color="auto"/>
                    <w:right w:val="single" w:sz="6" w:space="0" w:color="auto"/>
                  </w:tcBorders>
                </w:tcPr>
                <w:p>
                  <w:pPr>
                    <w:spacing w:line="400" w:lineRule="exact"/>
                  </w:pPr>
                  <w:r>
                    <w:t>1000-5000</w:t>
                  </w:r>
                </w:p>
              </w:tc>
              <w:tc>
                <w:tcPr>
                  <w:tcW w:w="2142" w:type="dxa"/>
                  <w:tcBorders>
                    <w:top w:val="single" w:sz="6" w:space="0" w:color="auto"/>
                    <w:left w:val="single" w:sz="6" w:space="0" w:color="auto"/>
                    <w:bottom w:val="single" w:sz="6" w:space="0" w:color="auto"/>
                    <w:right w:val="single" w:sz="6" w:space="0" w:color="auto"/>
                  </w:tcBorders>
                  <w:vAlign w:val="center"/>
                </w:tcPr>
                <w:p>
                  <w:pPr>
                    <w:spacing w:line="400" w:lineRule="exact"/>
                    <w:jc w:val="center"/>
                  </w:pPr>
                  <w:r>
                    <w:t>0.</w:t>
                  </w:r>
                  <w:r>
                    <w:rPr>
                      <w:rFonts w:hint="eastAsia"/>
                    </w:rPr>
                    <w:t>25</w:t>
                  </w:r>
                  <w:r>
                    <w:t>%</w:t>
                  </w:r>
                </w:p>
              </w:tc>
            </w:tr>
          </w:tbl>
          <w:p>
            <w:pPr>
              <w:spacing w:line="400" w:lineRule="exact"/>
            </w:pPr>
            <w:r>
              <w:t>3.</w:t>
            </w:r>
            <w:r>
              <w:rPr>
                <w:rFonts w:hint="eastAsia"/>
              </w:rPr>
              <w:t>采购代理机构招标代理服务费账户信息：</w:t>
            </w:r>
          </w:p>
          <w:p>
            <w:pPr>
              <w:spacing w:line="400" w:lineRule="exact"/>
              <w:rPr>
                <w:rFonts w:ascii="黑体" w:eastAsia="黑体"/>
              </w:rPr>
            </w:pPr>
            <w:r>
              <w:rPr>
                <w:rFonts w:ascii="黑体" w:eastAsia="黑体" w:hint="eastAsia"/>
              </w:rPr>
              <w:t>开户行：广发银行深圳中心区支行</w:t>
            </w:r>
          </w:p>
          <w:p>
            <w:pPr>
              <w:spacing w:line="400" w:lineRule="exact"/>
              <w:rPr>
                <w:rFonts w:ascii="黑体" w:eastAsia="黑体"/>
              </w:rPr>
            </w:pPr>
            <w:r>
              <w:rPr>
                <w:rFonts w:ascii="黑体" w:eastAsia="黑体" w:hint="eastAsia"/>
              </w:rPr>
              <w:t>账户名称：深圳龙达招标有限公司</w:t>
            </w:r>
          </w:p>
          <w:p>
            <w:pPr>
              <w:spacing w:line="400" w:lineRule="exact"/>
              <w:rPr>
                <w:szCs w:val="21"/>
              </w:rPr>
            </w:pPr>
            <w:r>
              <w:rPr>
                <w:rFonts w:ascii="黑体" w:eastAsia="黑体" w:hint="eastAsia"/>
              </w:rPr>
              <w:t>账号：</w:t>
            </w:r>
            <w:r>
              <w:rPr>
                <w:rFonts w:ascii="黑体" w:eastAsia="黑体"/>
              </w:rPr>
              <w:t>102015516010008966</w:t>
            </w:r>
          </w:p>
        </w:tc>
      </w:tr>
    </w:tbl>
    <w:p>
      <w:pPr>
        <w:spacing w:line="400" w:lineRule="exact"/>
        <w:jc w:val="left"/>
        <w:rPr>
          <w:rFonts w:hint="eastAsia"/>
        </w:rPr>
      </w:pPr>
      <w:r>
        <w:rPr>
          <w:rFonts w:hint="eastAsia"/>
        </w:rPr>
        <w:br w:type="page"/>
      </w: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BodyTextFirstIndent2"/>
        <w:rPr>
          <w:rFonts w:hint="eastAsia"/>
        </w:rPr>
      </w:pPr>
    </w:p>
    <w:p>
      <w:pPr>
        <w:pStyle w:val="Heading1"/>
        <w:spacing w:line="240" w:lineRule="auto"/>
        <w:jc w:val="center"/>
      </w:pPr>
      <w:bookmarkStart w:id="303" w:name="_Toc10138"/>
      <w:bookmarkStart w:id="304" w:name="_Toc25665"/>
      <w:bookmarkStart w:id="305" w:name="_Toc18586"/>
      <w:bookmarkStart w:id="306" w:name="_Toc23306"/>
      <w:bookmarkStart w:id="307" w:name="_Toc22739"/>
      <w:bookmarkStart w:id="308" w:name="_Toc256000059"/>
      <w:r>
        <w:rPr>
          <w:rFonts w:hint="eastAsia"/>
        </w:rPr>
        <w:t>第五章 投标文件格式</w:t>
      </w:r>
      <w:bookmarkEnd w:id="308"/>
      <w:bookmarkEnd w:id="303"/>
      <w:bookmarkEnd w:id="304"/>
      <w:bookmarkEnd w:id="305"/>
      <w:bookmarkEnd w:id="306"/>
      <w:bookmarkEnd w:id="307"/>
    </w:p>
    <w:p>
      <w:pPr>
        <w:spacing w:line="400" w:lineRule="exact"/>
      </w:pPr>
    </w:p>
    <w:p>
      <w:pPr>
        <w:widowControl/>
        <w:jc w:val="left"/>
        <w:rPr>
          <w:rFonts w:ascii="Arial" w:eastAsia="黑体" w:hAnsi="Arial"/>
          <w:b/>
          <w:bCs/>
          <w:sz w:val="32"/>
          <w:szCs w:val="32"/>
        </w:rPr>
      </w:pPr>
      <w:bookmarkStart w:id="309" w:name="_Toc14934"/>
      <w:bookmarkStart w:id="310" w:name="_Toc25194"/>
      <w:bookmarkStart w:id="311" w:name="_Toc31468"/>
    </w:p>
    <w:p>
      <w:pPr>
        <w:pStyle w:val="Heading2"/>
        <w:spacing w:line="400" w:lineRule="exact"/>
        <w:jc w:val="center"/>
      </w:pPr>
      <w:bookmarkStart w:id="312" w:name="_Toc19776"/>
      <w:bookmarkStart w:id="313" w:name="_Toc13162"/>
      <w:bookmarkStart w:id="314" w:name="_Toc256000060"/>
      <w:r>
        <w:rPr>
          <w:rFonts w:hint="eastAsia"/>
        </w:rPr>
        <w:t>投标文件编制说明</w:t>
      </w:r>
      <w:bookmarkEnd w:id="314"/>
      <w:bookmarkEnd w:id="309"/>
      <w:bookmarkEnd w:id="310"/>
      <w:bookmarkEnd w:id="311"/>
      <w:bookmarkEnd w:id="312"/>
      <w:bookmarkEnd w:id="313"/>
    </w:p>
    <w:p>
      <w:pPr>
        <w:spacing w:line="400" w:lineRule="exact"/>
        <w:ind w:firstLine="420" w:firstLineChars="200"/>
      </w:pPr>
      <w:r>
        <w:rPr>
          <w:rFonts w:hint="eastAsia"/>
        </w:rPr>
        <w:t>本章内容为投标文件中涉及的投标文件格式。</w:t>
      </w:r>
    </w:p>
    <w:p>
      <w:pPr>
        <w:spacing w:line="400" w:lineRule="exact"/>
        <w:ind w:firstLine="420" w:firstLineChars="200"/>
      </w:pPr>
      <w:r>
        <w:rPr>
          <w:rFonts w:hint="eastAsia"/>
        </w:rPr>
        <w:t>投标文件的内容及排序应按“投标资料表”第3.1条“投标文件的组成”，选取本章相应格式编制投标文件。“投标资料表”第3.1条中没有要求的内容，投标人不需要提交；本章中没有“投标资料表”第3.1条内容对应格式的，由投标人根据招标要求自行编制。</w:t>
      </w:r>
    </w:p>
    <w:p>
      <w:pPr>
        <w:spacing w:line="400" w:lineRule="exact"/>
      </w:pPr>
      <w:r>
        <w:rPr>
          <w:rFonts w:hint="eastAsia"/>
        </w:rPr>
        <w:br w:type="page"/>
      </w:r>
    </w:p>
    <w:p>
      <w:pPr>
        <w:spacing w:line="400" w:lineRule="exact"/>
      </w:pPr>
    </w:p>
    <w:p>
      <w:pPr>
        <w:pStyle w:val="Heading2"/>
        <w:spacing w:line="400" w:lineRule="exact"/>
        <w:jc w:val="center"/>
      </w:pPr>
      <w:bookmarkStart w:id="315" w:name="_Toc19687"/>
      <w:bookmarkStart w:id="316" w:name="_Toc23436"/>
      <w:bookmarkStart w:id="317" w:name="_Toc22214"/>
      <w:bookmarkStart w:id="318" w:name="_Toc1598"/>
      <w:bookmarkStart w:id="319" w:name="_Toc28958"/>
      <w:bookmarkStart w:id="320" w:name="_Toc256000061"/>
      <w:r>
        <w:t>格式1：投标函</w:t>
      </w:r>
      <w:bookmarkEnd w:id="320"/>
      <w:bookmarkEnd w:id="315"/>
      <w:bookmarkEnd w:id="316"/>
      <w:bookmarkEnd w:id="317"/>
      <w:bookmarkEnd w:id="318"/>
      <w:bookmarkEnd w:id="319"/>
    </w:p>
    <w:p>
      <w:pPr>
        <w:spacing w:line="400" w:lineRule="exact"/>
      </w:pPr>
    </w:p>
    <w:p>
      <w:pPr>
        <w:spacing w:line="400" w:lineRule="exact"/>
      </w:pPr>
      <w:r>
        <w:rPr>
          <w:rFonts w:hint="eastAsia"/>
        </w:rPr>
        <w:t>致：深圳龙达招标有限公司</w:t>
      </w:r>
    </w:p>
    <w:p>
      <w:pPr>
        <w:spacing w:line="400" w:lineRule="exact"/>
        <w:ind w:firstLine="420" w:firstLineChars="200"/>
      </w:pPr>
      <w:r>
        <w:rPr>
          <w:rFonts w:hint="eastAsia"/>
        </w:rPr>
        <w:t>根据贵方为</w:t>
      </w:r>
      <w:r>
        <w:rPr>
          <w:rFonts w:hint="eastAsia"/>
          <w:u w:val="single"/>
        </w:rPr>
        <w:t>（项目名称）（项目编号）</w:t>
      </w:r>
      <w:r>
        <w:rPr>
          <w:rFonts w:hint="eastAsia"/>
          <w:u w:val="single"/>
          <w:lang w:val="en-US" w:eastAsia="zh-CN"/>
        </w:rPr>
        <w:t>(包号)</w:t>
      </w:r>
      <w:r>
        <w:rPr>
          <w:rFonts w:hint="eastAsia"/>
        </w:rPr>
        <w:t>项目投标邀请，授权代表</w:t>
      </w:r>
      <w:r>
        <w:rPr>
          <w:rFonts w:hint="eastAsia"/>
          <w:u w:val="single"/>
        </w:rPr>
        <w:t>（姓名、职务）</w:t>
      </w:r>
      <w:r>
        <w:rPr>
          <w:rFonts w:hint="eastAsia"/>
        </w:rPr>
        <w:t>经正式授权并代表投标人</w:t>
      </w:r>
      <w:r>
        <w:rPr>
          <w:rFonts w:hint="eastAsia"/>
          <w:u w:val="single"/>
        </w:rPr>
        <w:t>（投标人名称）</w:t>
      </w:r>
      <w:r>
        <w:rPr>
          <w:rFonts w:hint="eastAsia"/>
        </w:rPr>
        <w:t>提交投标文件。</w:t>
      </w:r>
    </w:p>
    <w:p>
      <w:pPr>
        <w:spacing w:line="400" w:lineRule="exact"/>
        <w:ind w:firstLine="420" w:firstLineChars="200"/>
      </w:pPr>
      <w:r>
        <w:rPr>
          <w:rFonts w:hint="eastAsia"/>
        </w:rPr>
        <w:t xml:space="preserve">在此，我方声明如下： </w:t>
      </w:r>
    </w:p>
    <w:p>
      <w:pPr>
        <w:spacing w:line="400" w:lineRule="exact"/>
        <w:ind w:firstLine="420" w:firstLineChars="200"/>
      </w:pPr>
      <w:r>
        <w:rPr>
          <w:rFonts w:hint="eastAsia"/>
        </w:rPr>
        <w:t>1.同意并接受招标文件的各项要求，遵守招标文件中的各项规定，按招标文件的要求提交投标文件。</w:t>
      </w:r>
    </w:p>
    <w:p>
      <w:pPr>
        <w:spacing w:line="400" w:lineRule="exact"/>
        <w:ind w:firstLine="420" w:firstLineChars="200"/>
      </w:pPr>
      <w:r>
        <w:rPr>
          <w:rFonts w:hint="eastAsia"/>
        </w:rPr>
        <w:t>2.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放弃对招标文件提出误解和质疑的一切权力。</w:t>
      </w:r>
    </w:p>
    <w:p>
      <w:pPr>
        <w:spacing w:line="400" w:lineRule="exact"/>
        <w:ind w:firstLine="420" w:firstLineChars="200"/>
      </w:pPr>
      <w:r>
        <w:rPr>
          <w:rFonts w:hint="eastAsia"/>
        </w:rPr>
        <w:t>3.本投标有效期为自开标日起</w:t>
      </w:r>
      <w:r>
        <w:rPr>
          <w:rFonts w:hint="eastAsia"/>
          <w:u w:val="single"/>
        </w:rPr>
        <w:t>120</w:t>
      </w:r>
      <w:r>
        <w:rPr>
          <w:rFonts w:hint="eastAsia"/>
        </w:rPr>
        <w:t xml:space="preserve">个日历日，中标人投标有效期延至合同验收之日。 </w:t>
      </w:r>
    </w:p>
    <w:p>
      <w:pPr>
        <w:spacing w:line="400" w:lineRule="exact"/>
        <w:ind w:firstLine="420" w:firstLineChars="200"/>
      </w:pPr>
      <w:r>
        <w:rPr>
          <w:rFonts w:hint="eastAsia"/>
        </w:rPr>
        <w:t>4.投标人保证遵守投标人须知中第3.6.3条款关于联合惩戒的规定。</w:t>
      </w:r>
    </w:p>
    <w:p>
      <w:pPr>
        <w:spacing w:line="400" w:lineRule="exact"/>
        <w:ind w:firstLine="420" w:firstLineChars="200"/>
      </w:pPr>
      <w:r>
        <w:rPr>
          <w:rFonts w:hint="eastAsia"/>
        </w:rPr>
        <w:t xml:space="preserve">5.根据投标人须知规定，投标人承诺，我方无投标人须知第1.3.2条规定禁止性情形。 </w:t>
      </w:r>
    </w:p>
    <w:p>
      <w:pPr>
        <w:spacing w:line="400" w:lineRule="exact"/>
        <w:ind w:firstLine="420" w:firstLineChars="200"/>
      </w:pPr>
      <w:r>
        <w:rPr>
          <w:rFonts w:hint="eastAsia"/>
        </w:rPr>
        <w:t>6.我方承诺我方所有的偏离均已在“商务条款偏离表”，“技术条款偏离表”中列出。</w:t>
      </w:r>
    </w:p>
    <w:p>
      <w:pPr>
        <w:spacing w:line="400" w:lineRule="exact"/>
        <w:ind w:firstLine="420" w:firstLineChars="200"/>
      </w:pPr>
      <w:r>
        <w:rPr>
          <w:rFonts w:hint="eastAsia"/>
        </w:rPr>
        <w:t>7.投标人同意提供按照贵方可能要求的与其投标有关的一切数据或资料。我方承诺在本次投标中提供的一切文件，无论是原件还是复印件均为真实和准确的，绝无任何虚假、伪造和夸大的成份。我单位已认真核实了投标文件的全部资料，对全部投标资料的真实性负责，如被证实我单位的投标文件中存在虚假资料的，则视为我单位隐瞒真实情况、提供虚假资料，我单位愿意承担主管部门作出的行政处罚等相应的后果和法律责任。</w:t>
      </w:r>
    </w:p>
    <w:p>
      <w:pPr>
        <w:spacing w:line="400" w:lineRule="exact"/>
        <w:ind w:firstLine="420" w:firstLineChars="200"/>
      </w:pPr>
      <w:r>
        <w:rPr>
          <w:rFonts w:hint="eastAsia"/>
        </w:rPr>
        <w:t>8.我方完全服从和尊重评标委员会所作的评定结果，同时清楚理解到报价最低并非意味着必定获得中标资格。</w:t>
      </w:r>
    </w:p>
    <w:p>
      <w:pPr>
        <w:spacing w:line="400" w:lineRule="exact"/>
        <w:ind w:firstLine="420" w:firstLineChars="200"/>
      </w:pPr>
      <w:r>
        <w:rPr>
          <w:rFonts w:hint="eastAsia"/>
        </w:rPr>
        <w:t>9.如我方中标，我方承诺：</w:t>
      </w:r>
    </w:p>
    <w:p>
      <w:pPr>
        <w:spacing w:line="400" w:lineRule="exact"/>
        <w:ind w:firstLine="420" w:firstLineChars="200"/>
      </w:pPr>
      <w:r>
        <w:rPr>
          <w:rFonts w:hint="eastAsia"/>
        </w:rPr>
        <w:t>（1）在收到中标通知书后，在中标通知书规定的期限内与采购人签订合同；</w:t>
      </w:r>
    </w:p>
    <w:p>
      <w:pPr>
        <w:spacing w:line="400" w:lineRule="exact"/>
        <w:ind w:firstLine="420" w:firstLineChars="200"/>
      </w:pPr>
      <w:r>
        <w:rPr>
          <w:rFonts w:hint="eastAsia"/>
        </w:rPr>
        <w:t>（2）在签订合同时不向采购人提出附加条件；</w:t>
      </w:r>
    </w:p>
    <w:p>
      <w:pPr>
        <w:spacing w:line="400" w:lineRule="exact"/>
        <w:ind w:firstLine="420" w:firstLineChars="200"/>
      </w:pPr>
      <w:r>
        <w:rPr>
          <w:rFonts w:hint="eastAsia"/>
        </w:rPr>
        <w:t>（3）按照招标文件要求提交履约担保（如果招标文件有约定）；</w:t>
      </w:r>
    </w:p>
    <w:p>
      <w:pPr>
        <w:spacing w:line="400" w:lineRule="exact"/>
        <w:ind w:firstLine="420" w:firstLineChars="200"/>
      </w:pPr>
      <w:r>
        <w:rPr>
          <w:rFonts w:hint="eastAsia"/>
        </w:rPr>
        <w:t>（4）在合同约定的期限内完成合同规定的全部义务。</w:t>
      </w:r>
    </w:p>
    <w:p>
      <w:pPr>
        <w:spacing w:line="400" w:lineRule="exact"/>
        <w:ind w:firstLine="420" w:firstLineChars="200"/>
      </w:pPr>
      <w:r>
        <w:rPr>
          <w:rFonts w:hint="eastAsia"/>
        </w:rPr>
        <w:t>10.我方同意按招标文件规定向政府采购代理机构缴纳招标代理服务费。</w:t>
      </w:r>
    </w:p>
    <w:p>
      <w:pPr>
        <w:spacing w:line="400" w:lineRule="exact"/>
        <w:ind w:firstLine="420" w:firstLineChars="200"/>
      </w:pPr>
      <w:r>
        <w:rPr>
          <w:rFonts w:hint="eastAsia"/>
        </w:rPr>
        <w:t>11.与本投标有关的一切正式信函请寄：</w:t>
      </w:r>
    </w:p>
    <w:p>
      <w:pPr>
        <w:spacing w:line="400" w:lineRule="exact"/>
        <w:ind w:firstLine="420" w:firstLineChars="200"/>
      </w:pPr>
    </w:p>
    <w:p>
      <w:pPr>
        <w:spacing w:line="400" w:lineRule="exact"/>
        <w:ind w:firstLine="420" w:firstLineChars="200"/>
      </w:pPr>
      <w:r>
        <w:rPr>
          <w:rFonts w:hint="eastAsia"/>
        </w:rPr>
        <w:t xml:space="preserve">投标人名称： </w:t>
      </w:r>
    </w:p>
    <w:p>
      <w:pPr>
        <w:spacing w:line="400" w:lineRule="exact"/>
        <w:ind w:firstLine="420" w:firstLineChars="200"/>
      </w:pPr>
      <w:r>
        <w:rPr>
          <w:rFonts w:hint="eastAsia"/>
        </w:rPr>
        <w:t xml:space="preserve">法定代表人（单位负责人）或其委托代理人： </w:t>
      </w:r>
    </w:p>
    <w:p>
      <w:pPr>
        <w:spacing w:line="400" w:lineRule="exact"/>
        <w:ind w:firstLine="420" w:firstLineChars="200"/>
      </w:pPr>
      <w:r>
        <w:rPr>
          <w:rFonts w:hint="eastAsia"/>
        </w:rPr>
        <w:t>地址：</w:t>
      </w:r>
    </w:p>
    <w:p>
      <w:pPr>
        <w:spacing w:line="400" w:lineRule="exact"/>
        <w:ind w:firstLine="420" w:firstLineChars="200"/>
      </w:pPr>
      <w:r>
        <w:rPr>
          <w:rFonts w:hint="eastAsia"/>
        </w:rPr>
        <w:t>电子邮件：</w:t>
      </w:r>
    </w:p>
    <w:p>
      <w:pPr>
        <w:spacing w:line="400" w:lineRule="exact"/>
        <w:ind w:firstLine="420" w:firstLineChars="200"/>
      </w:pPr>
      <w:r>
        <w:rPr>
          <w:rFonts w:hint="eastAsia"/>
        </w:rPr>
        <w:t>电话/移动电话：</w:t>
      </w:r>
    </w:p>
    <w:p>
      <w:pPr>
        <w:spacing w:line="400" w:lineRule="exact"/>
        <w:ind w:firstLine="420" w:firstLineChars="200"/>
        <w:rPr>
          <w:i/>
        </w:rPr>
      </w:pPr>
      <w:r>
        <w:rPr>
          <w:rFonts w:hint="eastAsia"/>
          <w:i/>
        </w:rPr>
        <w:t>财务负责人/企业负责人的联系方式（可选填项）：</w:t>
      </w:r>
    </w:p>
    <w:p>
      <w:pPr>
        <w:spacing w:line="400" w:lineRule="exact"/>
        <w:ind w:firstLine="420" w:firstLineChars="200"/>
      </w:pPr>
      <w:r>
        <w:rPr>
          <w:rFonts w:hint="eastAsia"/>
        </w:rPr>
        <w:t>传真：</w:t>
      </w:r>
    </w:p>
    <w:p>
      <w:pPr>
        <w:spacing w:line="400" w:lineRule="exact"/>
        <w:ind w:firstLine="420" w:firstLineChars="200"/>
      </w:pPr>
      <w:r>
        <w:rPr>
          <w:rFonts w:hint="eastAsia"/>
        </w:rPr>
        <w:t>邮政编码：</w:t>
      </w:r>
    </w:p>
    <w:p>
      <w:pPr>
        <w:spacing w:line="400" w:lineRule="exact"/>
        <w:ind w:firstLine="420" w:firstLineChars="200"/>
      </w:pPr>
      <w:r>
        <w:rPr>
          <w:rFonts w:hint="eastAsia"/>
        </w:rPr>
        <w:t>日期：   年   月   日</w:t>
      </w:r>
    </w:p>
    <w:p>
      <w:pPr>
        <w:spacing w:line="400" w:lineRule="exact"/>
        <w:ind w:firstLine="420" w:firstLineChars="200"/>
      </w:pPr>
    </w:p>
    <w:p>
      <w:pPr>
        <w:spacing w:line="400" w:lineRule="exact"/>
        <w:ind w:firstLine="420" w:firstLineChars="200"/>
      </w:pPr>
      <w:r>
        <w:rPr>
          <w:rFonts w:hint="eastAsia"/>
        </w:rPr>
        <w:t>注：为缓解中小企业融资难题，我市推出政府采购订单融资改革举措。订单融资具体流程及试点金融机构订单融资服务承诺可参阅深圳市政府采购监管网（www.zfcg.sz.gov.cn）信息公开栏目或深圳政府采购网（cgzx.sz.gov.cn）政府采购订单融资栏目。</w:t>
      </w:r>
    </w:p>
    <w:p>
      <w:pPr>
        <w:spacing w:line="400" w:lineRule="exact"/>
        <w:ind w:firstLine="420" w:firstLineChars="200"/>
      </w:pPr>
      <w:r>
        <w:rPr>
          <w:rFonts w:hint="eastAsia"/>
        </w:rPr>
        <w:br w:type="page"/>
      </w:r>
    </w:p>
    <w:p>
      <w:pPr>
        <w:spacing w:line="400" w:lineRule="exact"/>
        <w:ind w:firstLine="420" w:firstLineChars="200"/>
      </w:pPr>
    </w:p>
    <w:p>
      <w:pPr>
        <w:pStyle w:val="Heading2"/>
        <w:spacing w:line="400" w:lineRule="exact"/>
        <w:jc w:val="center"/>
        <w:rPr>
          <w:rFonts w:cs="Times New Roman"/>
          <w:lang w:eastAsia="zh-CN"/>
        </w:rPr>
      </w:pPr>
      <w:bookmarkStart w:id="321" w:name="_Toc17658"/>
      <w:bookmarkStart w:id="322" w:name="_Toc12535"/>
      <w:bookmarkStart w:id="323" w:name="_Toc26733"/>
      <w:bookmarkStart w:id="324" w:name="_Toc23005"/>
      <w:bookmarkStart w:id="325" w:name="_Toc27229"/>
      <w:bookmarkStart w:id="326" w:name="_Toc256000062"/>
      <w:r>
        <w:rPr>
          <w:rFonts w:cs="Times New Roman"/>
        </w:rPr>
        <w:t>格式</w:t>
      </w:r>
      <w:r>
        <w:rPr>
          <w:rFonts w:cs="Times New Roman" w:hint="eastAsia"/>
        </w:rPr>
        <w:t>2</w:t>
      </w:r>
      <w:r>
        <w:rPr>
          <w:rFonts w:cs="Times New Roman"/>
        </w:rPr>
        <w:t>：</w:t>
      </w:r>
      <w:bookmarkEnd w:id="321"/>
      <w:bookmarkEnd w:id="322"/>
      <w:bookmarkEnd w:id="323"/>
      <w:bookmarkEnd w:id="324"/>
      <w:bookmarkStart w:id="327" w:name="_Hlk72092499"/>
      <w:r>
        <w:rPr>
          <w:rFonts w:cs="Times New Roman" w:hint="eastAsia"/>
          <w:lang w:eastAsia="zh-CN"/>
        </w:rPr>
        <w:t>法定代表人（负责人）证明书</w:t>
      </w:r>
      <w:bookmarkEnd w:id="326"/>
      <w:bookmarkEnd w:id="325"/>
      <w:bookmarkEnd w:id="327"/>
    </w:p>
    <w:p>
      <w:pPr>
        <w:widowControl w:val="0"/>
        <w:jc w:val="both"/>
        <w:rPr>
          <w:rFonts w:ascii="Calibri" w:eastAsia="宋体" w:hAnsi="Calibri"/>
          <w:kern w:val="2"/>
          <w:szCs w:val="22"/>
          <w:lang w:eastAsia="zh-CN"/>
        </w:rPr>
      </w:pPr>
    </w:p>
    <w:p>
      <w:pPr>
        <w:widowControl w:val="0"/>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（姓名），现任我单位</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职务，为</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（投标人名称）法定代表人（负责人），身份证件号为：</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，联系电话：</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w:t>
      </w:r>
    </w:p>
    <w:p>
      <w:pPr>
        <w:widowControl w:val="0"/>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lang w:eastAsia="zh-CN"/>
        </w:rPr>
        <w:t>特此证明。</w:t>
      </w:r>
    </w:p>
    <w:p>
      <w:pPr>
        <w:widowControl w:val="0"/>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lang w:eastAsia="zh-CN"/>
        </w:rPr>
        <w:t>说明：1、法定代表人为投标人（企业事业单位、国家机关、社会团体）的主要行政负责人。</w:t>
      </w:r>
    </w:p>
    <w:p>
      <w:pPr>
        <w:widowControl w:val="0"/>
        <w:numPr>
          <w:ilvl w:val="0"/>
          <w:numId w:val="11"/>
        </w:numPr>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rPr>
        <w:t>本证明书要供法定代表人（负责人）</w:t>
      </w:r>
      <w:r>
        <w:rPr>
          <w:rFonts w:ascii="Calibri" w:eastAsia="宋体" w:hAnsi="Calibri" w:cstheme="minorBidi" w:hint="eastAsia"/>
          <w:kern w:val="2"/>
          <w:sz w:val="21"/>
          <w:szCs w:val="21"/>
          <w:lang w:eastAsia="zh-CN"/>
        </w:rPr>
        <w:t>相关身份证明文件：身份证扫描件（正反两面）；港澳台居民可提供来往通行证扫描件；非中国国籍管辖范围人员，可提供公安部门认可的身份证明材料扫描件。</w:t>
      </w:r>
    </w:p>
    <w:p>
      <w:pPr>
        <w:widowControl w:val="0"/>
        <w:numPr>
          <w:ilvl w:val="0"/>
          <w:numId w:val="11"/>
        </w:numPr>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rPr>
        <w:t>本项目投标授权代表为法定代表人（负责人）的，无需提供</w:t>
      </w:r>
      <w:r>
        <w:rPr>
          <w:rFonts w:ascii="Calibri" w:eastAsia="宋体" w:hAnsi="Calibri" w:cstheme="minorBidi" w:hint="eastAsia"/>
          <w:kern w:val="2"/>
          <w:sz w:val="21"/>
          <w:szCs w:val="21"/>
          <w:lang w:eastAsia="zh-CN"/>
        </w:rPr>
        <w:t>《投标文件签署授权委托书》</w:t>
      </w:r>
      <w:r>
        <w:rPr>
          <w:rFonts w:ascii="Calibri" w:eastAsia="宋体" w:hAnsi="Calibri" w:cstheme="minorBidi" w:hint="eastAsia"/>
          <w:kern w:val="2"/>
          <w:sz w:val="21"/>
          <w:szCs w:val="21"/>
        </w:rPr>
        <w:t>。</w:t>
      </w:r>
    </w:p>
    <w:p>
      <w:pPr>
        <w:widowControl w:val="0"/>
        <w:numPr>
          <w:ilvl w:val="0"/>
          <w:numId w:val="11"/>
        </w:numPr>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lang w:eastAsia="zh-CN"/>
        </w:rPr>
        <w:t>内容必须填写真实、清楚，涂改无效，不得转让、买卖。</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1"/>
        <w:gridCol w:w="4261"/>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500" w:type="pct"/>
          </w:tcPr>
          <w:p>
            <w:pPr>
              <w:widowControl w:val="0"/>
              <w:jc w:val="center"/>
              <w:rPr>
                <w:rFonts w:ascii="Calibri" w:eastAsia="宋体" w:hAnsi="Calibri"/>
                <w:kern w:val="2"/>
                <w:sz w:val="21"/>
                <w:szCs w:val="22"/>
                <w:lang w:eastAsia="zh-CN"/>
              </w:rPr>
            </w:pPr>
            <w:r>
              <w:rPr>
                <w:rFonts w:ascii="Calibri" w:eastAsia="宋体" w:hAnsi="Calibri" w:cstheme="minorBidi" w:hint="eastAsia"/>
                <w:kern w:val="2"/>
                <w:sz w:val="21"/>
                <w:szCs w:val="22"/>
                <w:lang w:eastAsia="zh-CN"/>
              </w:rPr>
              <w:t>身份证证件扫描件正面</w:t>
            </w:r>
          </w:p>
          <w:p>
            <w:pPr>
              <w:widowControl w:val="0"/>
              <w:spacing w:line="400" w:lineRule="exact"/>
              <w:jc w:val="center"/>
              <w:rPr>
                <w:rFonts w:eastAsia="宋体"/>
                <w:kern w:val="2"/>
                <w:sz w:val="21"/>
                <w:szCs w:val="21"/>
                <w:lang w:eastAsia="zh-CN"/>
              </w:rPr>
            </w:pPr>
          </w:p>
          <w:p>
            <w:pPr>
              <w:widowControl w:val="0"/>
              <w:spacing w:line="360" w:lineRule="auto"/>
              <w:jc w:val="center"/>
              <w:rPr>
                <w:rFonts w:ascii="Calibri" w:eastAsia="宋体" w:hAnsi="Calibri"/>
                <w:kern w:val="2"/>
                <w:szCs w:val="22"/>
                <w:lang w:eastAsia="zh-CN"/>
              </w:rPr>
            </w:pPr>
          </w:p>
        </w:tc>
        <w:tc>
          <w:tcPr>
            <w:tcW w:w="2500" w:type="pct"/>
          </w:tcPr>
          <w:p>
            <w:pPr>
              <w:widowControl w:val="0"/>
              <w:jc w:val="center"/>
              <w:rPr>
                <w:rFonts w:ascii="Calibri" w:eastAsia="宋体" w:hAnsi="Calibri"/>
                <w:kern w:val="2"/>
                <w:sz w:val="21"/>
                <w:szCs w:val="22"/>
                <w:lang w:eastAsia="zh-CN"/>
              </w:rPr>
            </w:pPr>
            <w:r>
              <w:rPr>
                <w:rFonts w:ascii="Calibri" w:eastAsia="宋体" w:hAnsi="Calibri" w:cstheme="minorBidi" w:hint="eastAsia"/>
                <w:kern w:val="2"/>
                <w:sz w:val="21"/>
                <w:szCs w:val="22"/>
                <w:lang w:eastAsia="zh-CN"/>
              </w:rPr>
              <w:t>身份证证件扫描件反面</w:t>
            </w:r>
          </w:p>
          <w:p>
            <w:pPr>
              <w:widowControl w:val="0"/>
              <w:spacing w:line="400" w:lineRule="exact"/>
              <w:jc w:val="center"/>
              <w:rPr>
                <w:rFonts w:eastAsia="宋体"/>
                <w:kern w:val="2"/>
                <w:sz w:val="21"/>
                <w:szCs w:val="21"/>
                <w:lang w:eastAsia="zh-CN"/>
              </w:rPr>
            </w:pPr>
          </w:p>
          <w:p>
            <w:pPr>
              <w:widowControl w:val="0"/>
              <w:spacing w:line="360" w:lineRule="auto"/>
              <w:jc w:val="center"/>
              <w:rPr>
                <w:rFonts w:ascii="Calibri" w:eastAsia="宋体" w:hAnsi="Calibri"/>
                <w:kern w:val="2"/>
                <w:szCs w:val="22"/>
                <w:lang w:eastAsia="zh-CN"/>
              </w:rPr>
            </w:pPr>
          </w:p>
        </w:tc>
      </w:tr>
    </w:tbl>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spacing w:line="400" w:lineRule="exact"/>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投标人名称：</w:t>
      </w:r>
      <w:r>
        <w:rPr>
          <w:rFonts w:ascii="Arial" w:eastAsia="宋体" w:hAnsi="Arial" w:cs="Arial" w:hint="eastAsia"/>
          <w:snapToGrid w:val="0"/>
          <w:color w:val="000000"/>
          <w:sz w:val="21"/>
          <w:szCs w:val="21"/>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法定代表人</w:t>
      </w:r>
      <w:r>
        <w:rPr>
          <w:rFonts w:ascii="Calibri" w:eastAsia="宋体" w:hAnsi="Calibri" w:cstheme="minorBidi" w:hint="eastAsia"/>
          <w:kern w:val="2"/>
          <w:sz w:val="21"/>
          <w:szCs w:val="21"/>
          <w:lang w:eastAsia="zh-CN"/>
        </w:rPr>
        <w:t>（负责人）</w:t>
      </w:r>
      <w:r>
        <w:rPr>
          <w:rFonts w:ascii="宋体" w:eastAsia="宋体" w:hAnsi="宋体" w:cstheme="minorBidi"/>
          <w:kern w:val="2"/>
          <w:sz w:val="21"/>
          <w:szCs w:val="22"/>
          <w:lang w:eastAsia="zh-CN"/>
        </w:rPr>
        <w:t>身份证号码：</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法定代表人</w:t>
      </w:r>
      <w:r>
        <w:rPr>
          <w:rFonts w:ascii="Calibri" w:eastAsia="宋体" w:hAnsi="Calibri" w:cstheme="minorBidi" w:hint="eastAsia"/>
          <w:kern w:val="2"/>
          <w:sz w:val="21"/>
          <w:szCs w:val="21"/>
          <w:lang w:eastAsia="zh-CN"/>
        </w:rPr>
        <w:t>（负责人）</w:t>
      </w:r>
      <w:r>
        <w:rPr>
          <w:rFonts w:ascii="宋体" w:eastAsia="宋体" w:hAnsi="宋体" w:cstheme="minorBidi" w:hint="eastAsia"/>
          <w:kern w:val="2"/>
          <w:sz w:val="21"/>
          <w:szCs w:val="22"/>
          <w:lang w:eastAsia="zh-CN"/>
        </w:rPr>
        <w:t>联系电话</w:t>
      </w:r>
      <w:r>
        <w:rPr>
          <w:rFonts w:ascii="宋体" w:eastAsia="宋体" w:hAnsi="宋体" w:cstheme="minorBidi"/>
          <w:kern w:val="2"/>
          <w:sz w:val="21"/>
          <w:szCs w:val="22"/>
          <w:lang w:eastAsia="zh-CN"/>
        </w:rPr>
        <w:t>：</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法定代表人</w:t>
      </w:r>
      <w:r>
        <w:rPr>
          <w:rFonts w:ascii="Calibri" w:eastAsia="宋体" w:hAnsi="Calibri" w:cstheme="minorBidi" w:hint="eastAsia"/>
          <w:kern w:val="2"/>
          <w:sz w:val="21"/>
          <w:szCs w:val="21"/>
          <w:lang w:eastAsia="zh-CN"/>
        </w:rPr>
        <w:t>（负责人）</w:t>
      </w:r>
      <w:r>
        <w:rPr>
          <w:rFonts w:ascii="宋体" w:eastAsia="宋体" w:hAnsi="宋体" w:cstheme="minorBidi" w:hint="eastAsia"/>
          <w:kern w:val="2"/>
          <w:sz w:val="21"/>
          <w:szCs w:val="22"/>
          <w:lang w:eastAsia="zh-CN"/>
        </w:rPr>
        <w:t>电子邮箱</w:t>
      </w:r>
      <w:r>
        <w:rPr>
          <w:rFonts w:ascii="宋体" w:eastAsia="宋体" w:hAnsi="宋体" w:cstheme="minorBidi"/>
          <w:kern w:val="2"/>
          <w:sz w:val="21"/>
          <w:szCs w:val="22"/>
          <w:lang w:eastAsia="zh-CN"/>
        </w:rPr>
        <w:t>：</w:t>
      </w:r>
      <w:r>
        <w:rPr>
          <w:rFonts w:eastAsia="宋体" w:cstheme="minorBidi"/>
          <w:kern w:val="2"/>
          <w:sz w:val="21"/>
          <w:szCs w:val="22"/>
          <w:u w:val="single"/>
          <w:lang w:eastAsia="zh-CN"/>
        </w:rPr>
        <w:t xml:space="preserve">                         </w:t>
      </w:r>
    </w:p>
    <w:p>
      <w:pPr>
        <w:kinsoku w:val="0"/>
        <w:autoSpaceDE w:val="0"/>
        <w:autoSpaceDN w:val="0"/>
        <w:adjustRightInd w:val="0"/>
        <w:snapToGrid w:val="0"/>
        <w:spacing w:line="400" w:lineRule="exact"/>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日期：</w:t>
      </w:r>
      <w:r>
        <w:rPr>
          <w:rFonts w:ascii="Arial" w:eastAsia="宋体" w:hAnsi="Arial" w:cs="Arial" w:hint="eastAsia"/>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年</w:t>
      </w:r>
      <w:r>
        <w:rPr>
          <w:rFonts w:ascii="Arial" w:eastAsia="宋体" w:hAnsi="Arial" w:cs="Arial" w:hint="eastAsia"/>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月</w:t>
      </w:r>
      <w:r>
        <w:rPr>
          <w:rFonts w:ascii="Arial" w:eastAsia="宋体" w:hAnsi="Arial" w:cs="Arial" w:hint="eastAsia"/>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日</w:t>
      </w:r>
    </w:p>
    <w:p>
      <w:pPr>
        <w:widowControl w:val="0"/>
        <w:jc w:val="both"/>
        <w:rPr>
          <w:rFonts w:ascii="Calibri" w:eastAsia="宋体" w:hAnsi="Calibri"/>
          <w:kern w:val="2"/>
          <w:szCs w:val="22"/>
          <w:lang w:eastAsia="zh-CN"/>
        </w:rPr>
      </w:pPr>
    </w:p>
    <w:p>
      <w:pPr>
        <w:widowControl w:val="0"/>
        <w:spacing w:line="400" w:lineRule="exact"/>
        <w:jc w:val="center"/>
        <w:rPr>
          <w:rFonts w:eastAsia="宋体"/>
          <w:kern w:val="2"/>
          <w:sz w:val="21"/>
          <w:szCs w:val="21"/>
          <w:lang w:eastAsia="zh-CN"/>
        </w:rPr>
      </w:pPr>
    </w:p>
    <w:p>
      <w:pPr>
        <w:widowControl w:val="0"/>
        <w:spacing w:line="360" w:lineRule="auto"/>
        <w:ind w:firstLine="420" w:firstLineChars="200"/>
        <w:jc w:val="both"/>
        <w:rPr>
          <w:rFonts w:ascii="Calibri" w:eastAsia="宋体" w:hAnsi="Calibri"/>
          <w:b/>
          <w:color w:val="FF0000"/>
          <w:kern w:val="2"/>
          <w:sz w:val="21"/>
          <w:szCs w:val="21"/>
          <w:lang w:eastAsia="zh-CN"/>
        </w:rPr>
      </w:pPr>
      <w:r>
        <w:rPr>
          <w:rFonts w:ascii="Calibri" w:eastAsia="宋体" w:hAnsi="Calibri" w:cstheme="minorBidi" w:hint="eastAsia"/>
          <w:b/>
          <w:color w:val="FF0000"/>
          <w:kern w:val="2"/>
          <w:sz w:val="21"/>
          <w:szCs w:val="21"/>
          <w:lang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pPr>
        <w:widowControl w:val="0"/>
        <w:spacing w:line="400" w:lineRule="exact"/>
        <w:jc w:val="center"/>
        <w:rPr>
          <w:rFonts w:eastAsia="宋体"/>
          <w:kern w:val="2"/>
          <w:sz w:val="21"/>
          <w:szCs w:val="21"/>
          <w:lang w:eastAsia="zh-CN"/>
        </w:rPr>
      </w:pPr>
    </w:p>
    <w:p>
      <w:pPr>
        <w:rPr>
          <w:rFonts w:ascii="宋体" w:eastAsia="宋体" w:hAnsi="宋体"/>
          <w:b/>
          <w:bCs/>
          <w:kern w:val="2"/>
          <w:szCs w:val="32"/>
          <w:lang w:eastAsia="zh-CN"/>
        </w:rPr>
      </w:pPr>
      <w:r>
        <w:rPr>
          <w:rFonts w:ascii="Calibri" w:eastAsia="宋体" w:hAnsi="Calibri" w:cstheme="minorBidi"/>
          <w:kern w:val="2"/>
          <w:sz w:val="21"/>
          <w:szCs w:val="22"/>
          <w:lang w:eastAsia="zh-CN"/>
        </w:rPr>
        <w:br w:type="page"/>
      </w:r>
    </w:p>
    <w:p>
      <w:pPr>
        <w:pStyle w:val="Heading2"/>
        <w:spacing w:line="400" w:lineRule="exact"/>
        <w:jc w:val="center"/>
        <w:rPr>
          <w:rFonts w:cs="Times New Roman"/>
          <w:lang w:eastAsia="zh-CN"/>
        </w:rPr>
      </w:pPr>
      <w:bookmarkStart w:id="328" w:name="_Toc23424"/>
      <w:bookmarkStart w:id="329" w:name="_Toc5416"/>
      <w:bookmarkStart w:id="330" w:name="_Toc256000063"/>
      <w:r>
        <w:rPr>
          <w:rFonts w:cs="Times New Roman"/>
        </w:rPr>
        <w:t>格式</w:t>
      </w:r>
      <w:r>
        <w:rPr>
          <w:rFonts w:cs="Times New Roman" w:hint="eastAsia"/>
          <w:lang w:val="en-US" w:eastAsia="zh-CN"/>
        </w:rPr>
        <w:t>3</w:t>
      </w:r>
      <w:r>
        <w:rPr>
          <w:rFonts w:cs="Times New Roman"/>
        </w:rPr>
        <w:t>：</w:t>
      </w:r>
      <w:r>
        <w:rPr>
          <w:rFonts w:cs="Times New Roman" w:hint="eastAsia"/>
          <w:lang w:eastAsia="zh-CN"/>
        </w:rPr>
        <w:t>投标文件签署授权委托书</w:t>
      </w:r>
      <w:bookmarkEnd w:id="330"/>
      <w:bookmarkEnd w:id="328"/>
      <w:bookmarkEnd w:id="329"/>
    </w:p>
    <w:p>
      <w:pPr>
        <w:widowControl w:val="0"/>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lang w:eastAsia="zh-CN"/>
        </w:rPr>
        <w:t>本授权委托书声明：我</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（姓名）系</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（投标人名称）的法定代表人（负责人），现授权委托</w:t>
      </w:r>
      <w:r>
        <w:rPr>
          <w:rFonts w:ascii="Calibri" w:eastAsia="宋体" w:hAnsi="Calibri" w:cstheme="minorBidi" w:hint="eastAsia"/>
          <w:kern w:val="2"/>
          <w:sz w:val="21"/>
          <w:szCs w:val="21"/>
          <w:u w:val="single"/>
          <w:lang w:eastAsia="zh-CN"/>
        </w:rPr>
        <w:t xml:space="preserve">            </w:t>
      </w:r>
      <w:r>
        <w:rPr>
          <w:rFonts w:ascii="Calibri" w:eastAsia="宋体" w:hAnsi="Calibri" w:cstheme="minorBidi" w:hint="eastAsia"/>
          <w:kern w:val="2"/>
          <w:sz w:val="21"/>
          <w:szCs w:val="21"/>
          <w:lang w:eastAsia="zh-CN"/>
        </w:rPr>
        <w:t>（姓名）为我单位签署本项目已递交的投标文件的法定代表人（负责人）的授权委托代理人，代理人全权代表我所签署的本项目已递交的投标文件内容我均承认。</w:t>
      </w:r>
    </w:p>
    <w:p>
      <w:pPr>
        <w:widowControl w:val="0"/>
        <w:spacing w:line="360" w:lineRule="auto"/>
        <w:ind w:firstLine="420" w:firstLineChars="200"/>
        <w:jc w:val="both"/>
        <w:rPr>
          <w:rFonts w:ascii="Calibri" w:eastAsia="宋体" w:hAnsi="Calibri"/>
          <w:kern w:val="2"/>
          <w:sz w:val="21"/>
          <w:szCs w:val="21"/>
          <w:lang w:eastAsia="zh-CN"/>
        </w:rPr>
      </w:pPr>
      <w:r>
        <w:rPr>
          <w:rFonts w:ascii="Calibri" w:eastAsia="宋体" w:hAnsi="Calibri" w:cstheme="minorBidi" w:hint="eastAsia"/>
          <w:kern w:val="2"/>
          <w:sz w:val="21"/>
          <w:szCs w:val="21"/>
          <w:lang w:eastAsia="zh-CN"/>
        </w:rPr>
        <w:t>代理人无转委托权，特此委托。</w:t>
      </w:r>
    </w:p>
    <w:p>
      <w:pPr>
        <w:widowControl w:val="0"/>
        <w:spacing w:line="360" w:lineRule="auto"/>
        <w:ind w:firstLine="420" w:firstLineChars="200"/>
        <w:jc w:val="both"/>
        <w:rPr>
          <w:rFonts w:ascii="Calibri" w:eastAsia="宋体" w:hAnsi="Calibri"/>
          <w:kern w:val="2"/>
          <w:sz w:val="21"/>
          <w:szCs w:val="21"/>
          <w:lang w:eastAsia="zh-CN"/>
        </w:rPr>
      </w:pPr>
    </w:p>
    <w:p>
      <w:pPr>
        <w:widowControl w:val="0"/>
        <w:spacing w:line="360" w:lineRule="auto"/>
        <w:ind w:firstLine="420" w:firstLineChars="200"/>
        <w:jc w:val="both"/>
        <w:rPr>
          <w:rFonts w:ascii="Calibri" w:eastAsia="宋体" w:hAnsi="Calibri"/>
          <w:b/>
          <w:color w:val="FF0000"/>
          <w:kern w:val="2"/>
          <w:sz w:val="21"/>
          <w:szCs w:val="21"/>
          <w:lang w:eastAsia="zh-CN"/>
        </w:rPr>
      </w:pPr>
      <w:r>
        <w:rPr>
          <w:rFonts w:ascii="Calibri" w:eastAsia="宋体" w:hAnsi="Calibri" w:cstheme="minorBidi" w:hint="eastAsia"/>
          <w:b/>
          <w:color w:val="FF0000"/>
          <w:kern w:val="2"/>
          <w:sz w:val="21"/>
          <w:szCs w:val="21"/>
          <w:lang w:eastAsia="zh-CN"/>
        </w:rPr>
        <w:t>附：请提供代理人身份证扫描件（正反两面）；港澳台居民可提供来往通行证扫描件；非中国国籍管辖范围人员，可提供公安部门认可的身份证明材料扫描件。</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61"/>
        <w:gridCol w:w="4261"/>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500" w:type="pct"/>
          </w:tcPr>
          <w:p>
            <w:pPr>
              <w:widowControl w:val="0"/>
              <w:jc w:val="center"/>
              <w:rPr>
                <w:rFonts w:ascii="Calibri" w:eastAsia="宋体" w:hAnsi="Calibri"/>
                <w:kern w:val="2"/>
                <w:sz w:val="21"/>
                <w:szCs w:val="22"/>
                <w:lang w:eastAsia="zh-CN"/>
              </w:rPr>
            </w:pPr>
            <w:r>
              <w:rPr>
                <w:rFonts w:eastAsia="宋体" w:hAnsi="Calibri" w:cstheme="minorBidi" w:hint="eastAsia"/>
                <w:kern w:val="2"/>
                <w:sz w:val="21"/>
                <w:szCs w:val="22"/>
                <w:lang w:eastAsia="zh-CN"/>
              </w:rPr>
              <w:t>证件扫描件正面</w:t>
            </w:r>
          </w:p>
          <w:p>
            <w:pPr>
              <w:widowControl w:val="0"/>
              <w:spacing w:line="400" w:lineRule="exact"/>
              <w:jc w:val="center"/>
              <w:rPr>
                <w:rFonts w:eastAsia="宋体"/>
                <w:kern w:val="2"/>
                <w:sz w:val="21"/>
                <w:szCs w:val="21"/>
                <w:lang w:eastAsia="zh-CN"/>
              </w:rPr>
            </w:pPr>
          </w:p>
          <w:p>
            <w:pPr>
              <w:widowControl w:val="0"/>
              <w:spacing w:line="360" w:lineRule="auto"/>
              <w:jc w:val="center"/>
              <w:rPr>
                <w:rFonts w:ascii="Calibri" w:eastAsia="宋体" w:hAnsi="Calibri"/>
                <w:kern w:val="2"/>
                <w:szCs w:val="22"/>
                <w:lang w:eastAsia="zh-CN"/>
              </w:rPr>
            </w:pPr>
          </w:p>
        </w:tc>
        <w:tc>
          <w:tcPr>
            <w:tcW w:w="2500" w:type="pct"/>
          </w:tcPr>
          <w:p>
            <w:pPr>
              <w:widowControl w:val="0"/>
              <w:jc w:val="center"/>
              <w:rPr>
                <w:rFonts w:ascii="Calibri" w:eastAsia="宋体" w:hAnsi="Calibri"/>
                <w:kern w:val="2"/>
                <w:sz w:val="21"/>
                <w:szCs w:val="22"/>
                <w:lang w:eastAsia="zh-CN"/>
              </w:rPr>
            </w:pPr>
            <w:r>
              <w:rPr>
                <w:rFonts w:eastAsia="宋体" w:hAnsi="Calibri" w:cstheme="minorBidi" w:hint="eastAsia"/>
                <w:kern w:val="2"/>
                <w:sz w:val="21"/>
                <w:szCs w:val="22"/>
                <w:lang w:eastAsia="zh-CN"/>
              </w:rPr>
              <w:t>证件扫描件反面</w:t>
            </w:r>
          </w:p>
          <w:p>
            <w:pPr>
              <w:widowControl w:val="0"/>
              <w:spacing w:line="400" w:lineRule="exact"/>
              <w:jc w:val="center"/>
              <w:rPr>
                <w:rFonts w:eastAsia="宋体"/>
                <w:kern w:val="2"/>
                <w:sz w:val="21"/>
                <w:szCs w:val="21"/>
                <w:lang w:eastAsia="zh-CN"/>
              </w:rPr>
            </w:pPr>
          </w:p>
          <w:p>
            <w:pPr>
              <w:widowControl w:val="0"/>
              <w:spacing w:line="360" w:lineRule="auto"/>
              <w:jc w:val="center"/>
              <w:rPr>
                <w:rFonts w:ascii="Calibri" w:eastAsia="宋体" w:hAnsi="Calibri"/>
                <w:kern w:val="2"/>
                <w:szCs w:val="22"/>
                <w:lang w:eastAsia="zh-CN"/>
              </w:rPr>
            </w:pPr>
          </w:p>
        </w:tc>
      </w:tr>
    </w:tbl>
    <w:p>
      <w:pPr>
        <w:widowControl w:val="0"/>
        <w:spacing w:line="440" w:lineRule="exact"/>
        <w:jc w:val="both"/>
        <w:rPr>
          <w:rFonts w:ascii="宋体" w:eastAsia="宋体" w:hAnsi="宋体"/>
          <w:kern w:val="2"/>
          <w:sz w:val="21"/>
          <w:szCs w:val="22"/>
          <w:lang w:eastAsia="zh-CN"/>
        </w:rPr>
      </w:pPr>
    </w:p>
    <w:p>
      <w:pPr>
        <w:widowControl w:val="0"/>
        <w:spacing w:line="440" w:lineRule="exact"/>
        <w:jc w:val="both"/>
        <w:rPr>
          <w:rFonts w:eastAsia="宋体"/>
          <w:kern w:val="2"/>
          <w:sz w:val="21"/>
          <w:szCs w:val="21"/>
          <w:lang w:eastAsia="zh-CN"/>
        </w:rPr>
      </w:pPr>
      <w:r>
        <w:rPr>
          <w:rFonts w:ascii="宋体" w:eastAsia="宋体" w:hAnsi="宋体" w:cstheme="minorBidi"/>
          <w:kern w:val="2"/>
          <w:sz w:val="21"/>
          <w:szCs w:val="22"/>
          <w:lang w:eastAsia="zh-CN"/>
        </w:rPr>
        <w:t>投标人</w:t>
      </w:r>
      <w:r>
        <w:rPr>
          <w:rFonts w:ascii="宋体" w:eastAsia="宋体" w:hAnsi="宋体" w:cstheme="minorBidi" w:hint="eastAsia"/>
          <w:kern w:val="2"/>
          <w:sz w:val="21"/>
          <w:szCs w:val="22"/>
          <w:lang w:eastAsia="zh-CN"/>
        </w:rPr>
        <w:t>名称</w:t>
      </w:r>
      <w:r>
        <w:rPr>
          <w:rFonts w:ascii="宋体" w:eastAsia="宋体" w:hAnsi="宋体" w:cstheme="minorBidi"/>
          <w:kern w:val="2"/>
          <w:sz w:val="21"/>
          <w:szCs w:val="22"/>
          <w:lang w:eastAsia="zh-CN"/>
        </w:rPr>
        <w:t>：</w:t>
      </w:r>
      <w:r>
        <w:rPr>
          <w:rFonts w:eastAsia="宋体" w:cstheme="minorBidi"/>
          <w:kern w:val="2"/>
          <w:sz w:val="21"/>
          <w:szCs w:val="22"/>
          <w:u w:val="single"/>
          <w:lang w:eastAsia="zh-CN"/>
        </w:rPr>
        <w:t xml:space="preserve">                          </w:t>
      </w:r>
      <w:r>
        <w:rPr>
          <w:rFonts w:eastAsia="宋体" w:cstheme="minorBidi" w:hint="eastAsia"/>
          <w:kern w:val="2"/>
          <w:sz w:val="21"/>
          <w:szCs w:val="22"/>
          <w:u w:val="single"/>
          <w:lang w:eastAsia="zh-CN"/>
        </w:rPr>
        <w:t xml:space="preserve">                </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eastAsia="宋体" w:cstheme="minorBidi"/>
          <w:kern w:val="2"/>
          <w:sz w:val="21"/>
          <w:szCs w:val="22"/>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法定代表人</w:t>
      </w:r>
      <w:r>
        <w:rPr>
          <w:rFonts w:ascii="Calibri" w:eastAsia="宋体" w:hAnsi="Calibri" w:cstheme="minorBidi" w:hint="eastAsia"/>
          <w:kern w:val="2"/>
          <w:sz w:val="21"/>
          <w:szCs w:val="21"/>
          <w:lang w:eastAsia="zh-CN"/>
        </w:rPr>
        <w:t>（负责人）</w:t>
      </w:r>
      <w:r>
        <w:rPr>
          <w:rFonts w:ascii="宋体" w:eastAsia="宋体" w:hAnsi="宋体" w:cstheme="minorBidi"/>
          <w:kern w:val="2"/>
          <w:sz w:val="21"/>
          <w:szCs w:val="22"/>
          <w:lang w:eastAsia="zh-CN"/>
        </w:rPr>
        <w:t>：</w:t>
      </w:r>
      <w:r>
        <w:rPr>
          <w:rFonts w:eastAsia="宋体" w:cstheme="minorBidi"/>
          <w:kern w:val="2"/>
          <w:sz w:val="21"/>
          <w:szCs w:val="22"/>
          <w:u w:val="single"/>
          <w:lang w:eastAsia="zh-CN"/>
        </w:rPr>
        <w:t xml:space="preserve">                    </w:t>
      </w:r>
      <w:r>
        <w:rPr>
          <w:rFonts w:eastAsia="宋体" w:cstheme="minorBidi" w:hint="eastAsia"/>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法定代表人</w:t>
      </w:r>
      <w:r>
        <w:rPr>
          <w:rFonts w:ascii="Calibri" w:eastAsia="宋体" w:hAnsi="Calibri" w:cstheme="minorBidi" w:hint="eastAsia"/>
          <w:kern w:val="2"/>
          <w:sz w:val="21"/>
          <w:szCs w:val="21"/>
          <w:lang w:eastAsia="zh-CN"/>
        </w:rPr>
        <w:t>（负责人）</w:t>
      </w:r>
      <w:r>
        <w:rPr>
          <w:rFonts w:ascii="宋体" w:eastAsia="宋体" w:hAnsi="宋体" w:cstheme="minorBidi"/>
          <w:kern w:val="2"/>
          <w:sz w:val="21"/>
          <w:szCs w:val="22"/>
          <w:lang w:eastAsia="zh-CN"/>
        </w:rPr>
        <w:t>身份证号码：</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eastAsia="宋体" w:cstheme="minorBidi"/>
          <w:kern w:val="2"/>
          <w:sz w:val="21"/>
          <w:szCs w:val="22"/>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委托代理人：</w:t>
      </w:r>
      <w:r>
        <w:rPr>
          <w:rFonts w:eastAsia="宋体" w:cstheme="minorBidi"/>
          <w:kern w:val="2"/>
          <w:sz w:val="21"/>
          <w:szCs w:val="22"/>
          <w:u w:val="single"/>
          <w:lang w:eastAsia="zh-CN"/>
        </w:rPr>
        <w:t xml:space="preserve">                                  </w:t>
      </w:r>
      <w:r>
        <w:rPr>
          <w:rFonts w:eastAsia="宋体" w:cstheme="minorBidi" w:hint="eastAsia"/>
          <w:kern w:val="2"/>
          <w:sz w:val="21"/>
          <w:szCs w:val="22"/>
          <w:u w:val="single"/>
          <w:lang w:eastAsia="zh-CN"/>
        </w:rPr>
        <w:t xml:space="preserve">            </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委托代理人身份证号码：</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委托代理人</w:t>
      </w:r>
      <w:r>
        <w:rPr>
          <w:rFonts w:ascii="宋体" w:eastAsia="宋体" w:hAnsi="宋体" w:cstheme="minorBidi" w:hint="eastAsia"/>
          <w:kern w:val="2"/>
          <w:sz w:val="21"/>
          <w:szCs w:val="22"/>
          <w:lang w:eastAsia="zh-CN"/>
        </w:rPr>
        <w:t>联系电话</w:t>
      </w:r>
      <w:r>
        <w:rPr>
          <w:rFonts w:ascii="宋体" w:eastAsia="宋体" w:hAnsi="宋体" w:cstheme="minorBidi"/>
          <w:kern w:val="2"/>
          <w:sz w:val="21"/>
          <w:szCs w:val="22"/>
          <w:lang w:eastAsia="zh-CN"/>
        </w:rPr>
        <w:t>：</w:t>
      </w:r>
      <w:r>
        <w:rPr>
          <w:rFonts w:eastAsia="宋体" w:cstheme="minorBidi"/>
          <w:kern w:val="2"/>
          <w:sz w:val="21"/>
          <w:szCs w:val="22"/>
          <w:u w:val="single"/>
          <w:lang w:eastAsia="zh-CN"/>
        </w:rPr>
        <w:t xml:space="preserve">                                 </w:t>
      </w:r>
      <w:r>
        <w:rPr>
          <w:rFonts w:eastAsia="宋体" w:cstheme="minorBidi" w:hint="eastAsia"/>
          <w:kern w:val="2"/>
          <w:sz w:val="21"/>
          <w:szCs w:val="22"/>
          <w:u w:val="single"/>
          <w:lang w:eastAsia="zh-CN"/>
        </w:rPr>
        <w:t xml:space="preserve"> </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kern w:val="2"/>
          <w:sz w:val="21"/>
          <w:szCs w:val="22"/>
          <w:lang w:eastAsia="zh-CN"/>
        </w:rPr>
        <w:t>委托代理人</w:t>
      </w:r>
      <w:r>
        <w:rPr>
          <w:rFonts w:ascii="宋体" w:eastAsia="宋体" w:hAnsi="宋体" w:cstheme="minorBidi" w:hint="eastAsia"/>
          <w:kern w:val="2"/>
          <w:sz w:val="21"/>
          <w:szCs w:val="22"/>
          <w:lang w:eastAsia="zh-CN"/>
        </w:rPr>
        <w:t>电子邮箱</w:t>
      </w:r>
      <w:r>
        <w:rPr>
          <w:rFonts w:ascii="宋体" w:eastAsia="宋体" w:hAnsi="宋体" w:cstheme="minorBidi"/>
          <w:kern w:val="2"/>
          <w:sz w:val="21"/>
          <w:szCs w:val="22"/>
          <w:lang w:eastAsia="zh-CN"/>
        </w:rPr>
        <w:t>：</w:t>
      </w:r>
      <w:r>
        <w:rPr>
          <w:rFonts w:eastAsia="宋体" w:cstheme="minorBidi"/>
          <w:kern w:val="2"/>
          <w:sz w:val="21"/>
          <w:szCs w:val="22"/>
          <w:u w:val="single"/>
          <w:lang w:eastAsia="zh-CN"/>
        </w:rPr>
        <w:t xml:space="preserve">                                  </w:t>
      </w:r>
      <w:r>
        <w:rPr>
          <w:rFonts w:eastAsia="宋体" w:cstheme="minorBidi" w:hint="eastAsia"/>
          <w:kern w:val="2"/>
          <w:sz w:val="21"/>
          <w:szCs w:val="22"/>
          <w:u w:val="single"/>
          <w:lang w:eastAsia="zh-CN"/>
        </w:rPr>
        <w:t xml:space="preserve"> </w:t>
      </w:r>
      <w:r>
        <w:rPr>
          <w:rFonts w:eastAsia="宋体" w:cstheme="minorBidi"/>
          <w:kern w:val="2"/>
          <w:sz w:val="21"/>
          <w:szCs w:val="22"/>
          <w:u w:val="single"/>
          <w:lang w:eastAsia="zh-CN"/>
        </w:rPr>
        <w:t xml:space="preserve">    </w:t>
      </w:r>
    </w:p>
    <w:p>
      <w:pPr>
        <w:widowControl w:val="0"/>
        <w:spacing w:line="440" w:lineRule="exact"/>
        <w:jc w:val="both"/>
        <w:rPr>
          <w:rFonts w:eastAsia="宋体"/>
          <w:kern w:val="2"/>
          <w:sz w:val="21"/>
          <w:szCs w:val="22"/>
          <w:lang w:eastAsia="zh-CN"/>
        </w:rPr>
      </w:pPr>
      <w:r>
        <w:rPr>
          <w:rFonts w:eastAsia="宋体" w:cstheme="minorBidi"/>
          <w:kern w:val="2"/>
          <w:sz w:val="21"/>
          <w:szCs w:val="22"/>
          <w:lang w:eastAsia="zh-CN"/>
        </w:rPr>
        <w:t xml:space="preserve"> </w:t>
      </w:r>
    </w:p>
    <w:p>
      <w:pPr>
        <w:widowControl w:val="0"/>
        <w:spacing w:line="440" w:lineRule="exact"/>
        <w:jc w:val="both"/>
        <w:rPr>
          <w:rFonts w:eastAsia="宋体"/>
          <w:kern w:val="2"/>
          <w:sz w:val="21"/>
          <w:szCs w:val="22"/>
          <w:lang w:eastAsia="zh-CN"/>
        </w:rPr>
      </w:pPr>
      <w:r>
        <w:rPr>
          <w:rFonts w:ascii="宋体" w:eastAsia="宋体" w:hAnsi="宋体" w:cstheme="minorBidi" w:hint="eastAsia"/>
          <w:kern w:val="2"/>
          <w:sz w:val="21"/>
          <w:szCs w:val="22"/>
          <w:lang w:eastAsia="zh-CN"/>
        </w:rPr>
        <w:t>日期：</w:t>
      </w:r>
      <w:r>
        <w:rPr>
          <w:rFonts w:eastAsia="宋体" w:cstheme="minorBidi"/>
          <w:kern w:val="2"/>
          <w:sz w:val="21"/>
          <w:szCs w:val="22"/>
          <w:u w:val="single"/>
          <w:lang w:eastAsia="zh-CN"/>
        </w:rPr>
        <w:t xml:space="preserve">       </w:t>
      </w:r>
      <w:r>
        <w:rPr>
          <w:rFonts w:ascii="宋体" w:eastAsia="宋体" w:hAnsi="宋体" w:cstheme="minorBidi"/>
          <w:kern w:val="2"/>
          <w:sz w:val="21"/>
          <w:szCs w:val="22"/>
          <w:lang w:eastAsia="zh-CN"/>
        </w:rPr>
        <w:t>年</w:t>
      </w:r>
      <w:r>
        <w:rPr>
          <w:rFonts w:eastAsia="宋体" w:cstheme="minorBidi"/>
          <w:kern w:val="2"/>
          <w:sz w:val="21"/>
          <w:szCs w:val="22"/>
          <w:u w:val="single"/>
          <w:lang w:eastAsia="zh-CN"/>
        </w:rPr>
        <w:t xml:space="preserve">       </w:t>
      </w:r>
      <w:r>
        <w:rPr>
          <w:rFonts w:ascii="宋体" w:eastAsia="宋体" w:hAnsi="宋体" w:cstheme="minorBidi"/>
          <w:kern w:val="2"/>
          <w:sz w:val="21"/>
          <w:szCs w:val="22"/>
          <w:lang w:eastAsia="zh-CN"/>
        </w:rPr>
        <w:t>月</w:t>
      </w:r>
      <w:r>
        <w:rPr>
          <w:rFonts w:eastAsia="宋体" w:cstheme="minorBidi"/>
          <w:kern w:val="2"/>
          <w:sz w:val="21"/>
          <w:szCs w:val="22"/>
          <w:u w:val="single"/>
          <w:lang w:eastAsia="zh-CN"/>
        </w:rPr>
        <w:t xml:space="preserve">       </w:t>
      </w:r>
      <w:r>
        <w:rPr>
          <w:rFonts w:ascii="宋体" w:eastAsia="宋体" w:hAnsi="宋体" w:cstheme="minorBidi"/>
          <w:kern w:val="2"/>
          <w:sz w:val="21"/>
          <w:szCs w:val="22"/>
          <w:lang w:eastAsia="zh-CN"/>
        </w:rPr>
        <w:t>日</w:t>
      </w:r>
    </w:p>
    <w:p>
      <w:pPr>
        <w:widowControl w:val="0"/>
        <w:tabs>
          <w:tab w:val="left" w:pos="651"/>
        </w:tabs>
        <w:snapToGrid w:val="0"/>
        <w:jc w:val="center"/>
        <w:rPr>
          <w:rFonts w:ascii="黑体" w:eastAsia="黑体" w:hAnsi="Calibri"/>
          <w:lang w:eastAsia="zh-CN"/>
        </w:rPr>
      </w:pPr>
    </w:p>
    <w:p>
      <w:pPr>
        <w:widowControl w:val="0"/>
        <w:topLinePunct/>
        <w:spacing w:line="400" w:lineRule="exact"/>
        <w:rPr>
          <w:rFonts w:eastAsia="宋体"/>
          <w:kern w:val="2"/>
          <w:sz w:val="20"/>
          <w:szCs w:val="22"/>
          <w:lang w:eastAsia="zh-CN"/>
        </w:rPr>
      </w:pPr>
    </w:p>
    <w:p>
      <w:pPr>
        <w:widowControl w:val="0"/>
        <w:topLinePunct/>
        <w:spacing w:line="400" w:lineRule="exact"/>
        <w:rPr>
          <w:rFonts w:eastAsia="宋体"/>
          <w:kern w:val="2"/>
          <w:sz w:val="20"/>
          <w:szCs w:val="22"/>
          <w:lang w:eastAsia="zh-CN"/>
        </w:rPr>
      </w:pPr>
    </w:p>
    <w:p>
      <w:pPr>
        <w:widowControl w:val="0"/>
        <w:spacing w:line="360" w:lineRule="auto"/>
        <w:ind w:firstLine="420" w:firstLineChars="200"/>
        <w:jc w:val="both"/>
        <w:rPr>
          <w:rFonts w:ascii="Calibri" w:eastAsia="宋体" w:hAnsi="Calibri"/>
          <w:b/>
          <w:color w:val="FF0000"/>
          <w:kern w:val="2"/>
          <w:sz w:val="21"/>
          <w:szCs w:val="21"/>
          <w:lang w:eastAsia="zh-CN"/>
        </w:rPr>
      </w:pPr>
      <w:r>
        <w:rPr>
          <w:rFonts w:ascii="Calibri" w:eastAsia="宋体" w:hAnsi="Calibri" w:cstheme="minorBidi" w:hint="eastAsia"/>
          <w:b/>
          <w:color w:val="FF0000"/>
          <w:kern w:val="2"/>
          <w:sz w:val="21"/>
          <w:szCs w:val="21"/>
          <w:lang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pPr>
        <w:spacing w:line="400" w:lineRule="exact"/>
      </w:pPr>
    </w:p>
    <w:p>
      <w:pPr>
        <w:spacing w:line="400" w:lineRule="exact"/>
        <w:rPr>
          <w:color w:val="0000FF"/>
        </w:rPr>
      </w:pPr>
    </w:p>
    <w:p>
      <w:pPr>
        <w:pStyle w:val="Heading2"/>
        <w:spacing w:line="400" w:lineRule="exact"/>
        <w:jc w:val="center"/>
      </w:pPr>
      <w:bookmarkStart w:id="331" w:name="_Toc6710"/>
      <w:bookmarkStart w:id="332" w:name="_Toc3907"/>
      <w:bookmarkStart w:id="333" w:name="_Toc14937"/>
      <w:bookmarkStart w:id="334" w:name="_Toc7922"/>
      <w:bookmarkStart w:id="335" w:name="_Toc10292"/>
      <w:bookmarkStart w:id="336" w:name="_Toc256000064"/>
      <w:r>
        <w:rPr>
          <w:rFonts w:hint="eastAsia"/>
        </w:rPr>
        <w:t>格式4：法人或者其他组织的营业执照等证明文件</w:t>
      </w:r>
      <w:bookmarkEnd w:id="336"/>
      <w:bookmarkEnd w:id="331"/>
      <w:bookmarkEnd w:id="332"/>
      <w:bookmarkEnd w:id="333"/>
      <w:bookmarkEnd w:id="334"/>
      <w:bookmarkEnd w:id="335"/>
    </w:p>
    <w:p>
      <w:pPr>
        <w:spacing w:line="400" w:lineRule="exact"/>
        <w:jc w:val="left"/>
      </w:pPr>
    </w:p>
    <w:p>
      <w:pPr>
        <w:spacing w:line="400" w:lineRule="exact"/>
        <w:jc w:val="left"/>
      </w:pPr>
      <w:r>
        <w:rPr>
          <w:rFonts w:hint="eastAsia"/>
        </w:rPr>
        <w:t>编制说明：</w:t>
      </w:r>
    </w:p>
    <w:p>
      <w:pPr>
        <w:spacing w:line="400" w:lineRule="exact"/>
        <w:ind w:firstLine="420" w:firstLineChars="200"/>
        <w:jc w:val="left"/>
        <w:rPr>
          <w:rFonts w:hint="eastAsia"/>
        </w:rPr>
      </w:pPr>
      <w:r>
        <w:rPr>
          <w:rFonts w:hint="eastAsia"/>
        </w:rPr>
        <w:t>提供法人或者其他组织的营业执照，或事业单位法人证书，或非企业专业服务机构执业许可证，或民办非企业单位登记证扫描件。</w:t>
      </w:r>
    </w:p>
    <w:p>
      <w:pPr>
        <w:spacing w:line="400" w:lineRule="exact"/>
        <w:ind w:firstLine="420" w:firstLineChars="200"/>
        <w:jc w:val="left"/>
        <w:rPr>
          <w:rFonts w:hint="default"/>
          <w:lang w:val="en-US" w:eastAsia="zh-CN"/>
        </w:rPr>
      </w:pPr>
      <w:r>
        <w:rPr>
          <w:rFonts w:hint="default"/>
          <w:lang w:val="en-US" w:eastAsia="zh-CN"/>
        </w:rPr>
        <w:t>如果参与投标的供应商为分公司则须提供分公司营业执照、其所属集团（或总公司）等具有独立法人资格的组织出具的授权函或承诺书，并同时提供总公司营业执照。</w:t>
      </w:r>
    </w:p>
    <w:p>
      <w:pPr>
        <w:spacing w:line="400" w:lineRule="exact"/>
      </w:pPr>
    </w:p>
    <w:p>
      <w:pPr>
        <w:spacing w:line="400" w:lineRule="exact"/>
        <w:rPr>
          <w:rFonts w:hint="eastAsia"/>
          <w:color w:val="0000FF"/>
        </w:rPr>
      </w:pPr>
    </w:p>
    <w:p>
      <w:pPr>
        <w:spacing w:line="400" w:lineRule="exact"/>
        <w:rPr>
          <w:rFonts w:hint="eastAsia"/>
          <w:color w:val="0000FF"/>
        </w:rPr>
      </w:pPr>
    </w:p>
    <w:p>
      <w:pPr>
        <w:spacing w:line="400" w:lineRule="exact"/>
        <w:rPr>
          <w:rFonts w:hint="eastAsia"/>
          <w:color w:val="0000FF"/>
        </w:rPr>
      </w:pPr>
    </w:p>
    <w:p>
      <w:bookmarkStart w:id="337" w:name="_Toc15140"/>
      <w:bookmarkStart w:id="338" w:name="_Toc73973112"/>
      <w:bookmarkStart w:id="339" w:name="_Toc202252035"/>
      <w:bookmarkStart w:id="340" w:name="_Toc202819879"/>
      <w:bookmarkStart w:id="341" w:name="_Toc202254106"/>
      <w:bookmarkStart w:id="342" w:name="_Toc202816997"/>
      <w:bookmarkStart w:id="343" w:name="_Toc202251701"/>
      <w:bookmarkStart w:id="344" w:name="_Toc202251076"/>
      <w:bookmarkStart w:id="345" w:name="_Toc202820352"/>
      <w:r>
        <w:br w:type="page"/>
      </w:r>
    </w:p>
    <w:p>
      <w:pPr>
        <w:pStyle w:val="Heading2"/>
        <w:spacing w:line="240" w:lineRule="auto"/>
        <w:jc w:val="center"/>
        <w:rPr>
          <w:rFonts w:ascii="黑体" w:eastAsia="黑体"/>
          <w:b/>
          <w:kern w:val="0"/>
          <w:sz w:val="24"/>
        </w:rPr>
      </w:pPr>
      <w:bookmarkStart w:id="346" w:name="_Toc32426"/>
      <w:bookmarkStart w:id="347" w:name="_Toc256000065"/>
      <w:r>
        <w:t>格式</w:t>
      </w:r>
      <w:r>
        <w:rPr>
          <w:rFonts w:hint="eastAsia"/>
        </w:rPr>
        <w:t>5</w:t>
      </w:r>
      <w:r>
        <w:t>：</w:t>
      </w:r>
      <w:r>
        <w:rPr>
          <w:rFonts w:hint="eastAsia"/>
        </w:rPr>
        <w:t>政府采购投标及履约承诺函</w:t>
      </w:r>
      <w:bookmarkEnd w:id="347"/>
      <w:bookmarkEnd w:id="337"/>
      <w:bookmarkEnd w:id="338"/>
      <w:bookmarkEnd w:id="346"/>
    </w:p>
    <w:p>
      <w:pPr>
        <w:rPr>
          <w:rFonts w:hAnsi="宋体"/>
          <w:szCs w:val="21"/>
        </w:rPr>
      </w:pPr>
    </w:p>
    <w:p>
      <w:r>
        <w:rPr>
          <w:rFonts w:hAnsi="宋体"/>
          <w:szCs w:val="21"/>
        </w:rPr>
        <w:t>致：</w:t>
      </w:r>
      <w:r>
        <w:rPr>
          <w:rFonts w:ascii="宋体" w:hAnsi="宋体" w:hint="eastAsia"/>
          <w:szCs w:val="21"/>
          <w:u w:val="single"/>
        </w:rPr>
        <w:t>深圳龙达招标有限公司</w:t>
      </w:r>
    </w:p>
    <w:p>
      <w:pPr>
        <w:widowControl/>
        <w:ind w:right="-815" w:firstLine="420" w:firstLineChars="200"/>
        <w:jc w:val="left"/>
        <w:rPr>
          <w:rFonts w:eastAsia="宋体"/>
          <w:kern w:val="0"/>
          <w:szCs w:val="21"/>
        </w:rPr>
      </w:pPr>
      <w:r>
        <w:rPr>
          <w:rFonts w:eastAsia="宋体" w:hAnsi="宋体"/>
          <w:kern w:val="0"/>
          <w:szCs w:val="21"/>
        </w:rPr>
        <w:t>我单位承诺：</w:t>
      </w:r>
    </w:p>
    <w:p>
      <w:pPr>
        <w:widowControl/>
        <w:ind w:firstLine="420" w:firstLineChars="200"/>
        <w:jc w:val="left"/>
        <w:rPr>
          <w:rFonts w:eastAsia="宋体"/>
          <w:kern w:val="0"/>
          <w:szCs w:val="21"/>
        </w:rPr>
      </w:pPr>
      <w:r>
        <w:rPr>
          <w:rFonts w:eastAsia="宋体"/>
          <w:kern w:val="0"/>
          <w:szCs w:val="21"/>
        </w:rPr>
        <w:t>1.</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hint="eastAsia"/>
          <w:kern w:val="0"/>
          <w:szCs w:val="21"/>
        </w:rPr>
        <w:t>为</w:t>
      </w:r>
      <w:r>
        <w:rPr>
          <w:rFonts w:eastAsia="宋体" w:hAnsi="宋体"/>
          <w:kern w:val="0"/>
          <w:szCs w:val="21"/>
        </w:rPr>
        <w:t>本招标项目所提供的货物或服务未侵犯知识产权。</w:t>
      </w:r>
    </w:p>
    <w:p>
      <w:pPr>
        <w:widowControl/>
        <w:ind w:firstLine="420" w:firstLineChars="200"/>
        <w:jc w:val="left"/>
        <w:rPr>
          <w:rFonts w:eastAsia="宋体"/>
          <w:kern w:val="0"/>
          <w:szCs w:val="21"/>
        </w:rPr>
      </w:pPr>
      <w:r>
        <w:rPr>
          <w:rFonts w:eastAsia="宋体"/>
          <w:kern w:val="0"/>
          <w:szCs w:val="21"/>
        </w:rPr>
        <w:t>2.</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参与本项目投标前三年内，在经营活动中没有重大违法记录。</w:t>
      </w:r>
    </w:p>
    <w:p>
      <w:pPr>
        <w:widowControl/>
        <w:ind w:firstLine="420" w:firstLineChars="200"/>
        <w:jc w:val="left"/>
        <w:rPr>
          <w:rFonts w:eastAsia="宋体"/>
          <w:kern w:val="0"/>
          <w:szCs w:val="21"/>
        </w:rPr>
      </w:pPr>
      <w:r>
        <w:rPr>
          <w:rFonts w:eastAsia="宋体"/>
          <w:kern w:val="0"/>
          <w:szCs w:val="21"/>
        </w:rPr>
        <w:t>3.</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参与本项目</w:t>
      </w:r>
      <w:r>
        <w:rPr>
          <w:rFonts w:eastAsia="宋体"/>
          <w:kern w:val="0"/>
          <w:szCs w:val="21"/>
        </w:rPr>
        <w:t>政府采购活动时不存在被有关部门禁止参与政府采购活动且在有效期内的情况。</w:t>
      </w:r>
    </w:p>
    <w:p>
      <w:pPr>
        <w:widowControl/>
        <w:ind w:firstLine="420" w:firstLineChars="200"/>
        <w:jc w:val="left"/>
        <w:rPr>
          <w:rFonts w:ascii="Times New Roman" w:eastAsia="宋体" w:hAnsi="Times New Roman" w:cs="Times New Roman"/>
          <w:kern w:val="0"/>
          <w:szCs w:val="21"/>
        </w:rPr>
      </w:pPr>
      <w:r>
        <w:rPr>
          <w:rFonts w:ascii="Times New Roman" w:eastAsia="宋体" w:hAnsi="Times New Roman" w:cs="Times New Roman" w:hint="eastAsia"/>
          <w:kern w:val="0"/>
          <w:szCs w:val="21"/>
          <w:lang w:val="en-US" w:eastAsia="zh-CN"/>
        </w:rPr>
        <w:t>4.</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ascii="Times New Roman" w:eastAsia="宋体" w:hAnsi="Times New Roman" w:cs="Times New Roman" w:hint="eastAsia"/>
          <w:kern w:val="0"/>
          <w:szCs w:val="21"/>
        </w:rPr>
        <w:t>不存在《深圳市财政局政府采购供应商信用信息管理办法》（深财规〔2023〕3号）列明的严重违法失信行为（由供应商在《政府采购投标及履约承诺函》中作出声明）；</w:t>
      </w:r>
    </w:p>
    <w:p>
      <w:pPr>
        <w:widowControl/>
        <w:ind w:firstLine="420" w:firstLineChars="200"/>
        <w:jc w:val="left"/>
        <w:rPr>
          <w:rFonts w:eastAsia="宋体"/>
          <w:kern w:val="0"/>
          <w:szCs w:val="21"/>
        </w:rPr>
      </w:pPr>
      <w:r>
        <w:rPr>
          <w:rFonts w:hint="eastAsia"/>
          <w:kern w:val="0"/>
          <w:szCs w:val="21"/>
          <w:lang w:val="en-US" w:eastAsia="zh-CN"/>
        </w:rPr>
        <w:t>5</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具备《中华人民共和国政府采购法》第二十二条第一款规定的六项条件。</w:t>
      </w:r>
    </w:p>
    <w:p>
      <w:pPr>
        <w:widowControl/>
        <w:ind w:firstLine="420" w:firstLineChars="200"/>
        <w:jc w:val="left"/>
        <w:rPr>
          <w:rFonts w:eastAsia="宋体"/>
          <w:kern w:val="0"/>
          <w:szCs w:val="21"/>
        </w:rPr>
      </w:pPr>
      <w:r>
        <w:rPr>
          <w:rFonts w:hint="eastAsia"/>
          <w:kern w:val="0"/>
          <w:szCs w:val="21"/>
          <w:lang w:val="en-US" w:eastAsia="zh-CN"/>
        </w:rPr>
        <w:t>6</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kern w:val="0"/>
          <w:szCs w:val="21"/>
        </w:rPr>
        <w:t>未被列入失信被执行人、重大税收违法案件当事人名单、政府采购严重违法失信行为记录名单</w:t>
      </w:r>
      <w:r>
        <w:rPr>
          <w:rFonts w:eastAsia="宋体" w:hint="eastAsia"/>
          <w:kern w:val="0"/>
          <w:szCs w:val="21"/>
        </w:rPr>
        <w:t>。</w:t>
      </w:r>
    </w:p>
    <w:p>
      <w:pPr>
        <w:widowControl/>
        <w:ind w:firstLine="420" w:firstLineChars="200"/>
        <w:jc w:val="left"/>
        <w:rPr>
          <w:rFonts w:eastAsia="宋体"/>
          <w:kern w:val="0"/>
          <w:szCs w:val="21"/>
        </w:rPr>
      </w:pPr>
      <w:r>
        <w:rPr>
          <w:rFonts w:hint="eastAsia"/>
          <w:kern w:val="0"/>
          <w:szCs w:val="21"/>
          <w:lang w:val="en-US" w:eastAsia="zh-CN"/>
        </w:rPr>
        <w:t>7</w:t>
      </w:r>
      <w:r>
        <w:rPr>
          <w:rFonts w:eastAsia="宋体"/>
          <w:kern w:val="0"/>
          <w:szCs w:val="21"/>
        </w:rPr>
        <w:t>.</w:t>
      </w:r>
      <w:r>
        <w:rPr>
          <w:rFonts w:hint="eastAsia"/>
          <w:szCs w:val="21"/>
        </w:rPr>
        <w:t>为采购项目提供整体设计、规范编制或者项目管理、监理、检测等服务的供应商，不得再参加该采购项目的其他采购活动</w:t>
      </w:r>
      <w:r>
        <w:rPr>
          <w:rFonts w:hint="eastAsia"/>
          <w:szCs w:val="21"/>
          <w:lang w:eastAsia="zh-CN"/>
        </w:rPr>
        <w:t>；</w:t>
      </w:r>
    </w:p>
    <w:p>
      <w:pPr>
        <w:widowControl/>
        <w:ind w:firstLine="420" w:firstLineChars="200"/>
        <w:jc w:val="left"/>
        <w:rPr>
          <w:rFonts w:eastAsia="宋体"/>
          <w:kern w:val="0"/>
          <w:szCs w:val="21"/>
        </w:rPr>
      </w:pPr>
      <w:r>
        <w:rPr>
          <w:rFonts w:hAnsi="宋体" w:hint="eastAsia"/>
          <w:kern w:val="0"/>
          <w:szCs w:val="21"/>
          <w:lang w:val="en-US" w:eastAsia="zh-CN"/>
        </w:rPr>
        <w:t>8.</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widowControl/>
        <w:ind w:firstLine="420" w:firstLineChars="200"/>
        <w:jc w:val="left"/>
        <w:rPr>
          <w:rFonts w:eastAsia="宋体"/>
          <w:kern w:val="0"/>
          <w:szCs w:val="21"/>
        </w:rPr>
      </w:pPr>
      <w:r>
        <w:rPr>
          <w:rFonts w:hint="eastAsia"/>
          <w:kern w:val="0"/>
          <w:szCs w:val="21"/>
          <w:lang w:val="en-US" w:eastAsia="zh-CN"/>
        </w:rPr>
        <w:t>9</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widowControl/>
        <w:ind w:firstLine="420" w:firstLineChars="200"/>
        <w:jc w:val="left"/>
        <w:rPr>
          <w:rFonts w:eastAsia="宋体"/>
          <w:kern w:val="0"/>
          <w:szCs w:val="21"/>
        </w:rPr>
      </w:pP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清楚，若以</w:t>
      </w:r>
      <w:r>
        <w:rPr>
          <w:rFonts w:eastAsia="宋体"/>
          <w:kern w:val="0"/>
          <w:szCs w:val="21"/>
        </w:rPr>
        <w:t>“</w:t>
      </w:r>
      <w:r>
        <w:rPr>
          <w:rFonts w:eastAsia="宋体" w:hAnsi="宋体"/>
          <w:kern w:val="0"/>
          <w:szCs w:val="21"/>
        </w:rPr>
        <w:t>报价太低而无法履约</w:t>
      </w:r>
      <w:r>
        <w:rPr>
          <w:rFonts w:eastAsia="宋体"/>
          <w:kern w:val="0"/>
          <w:szCs w:val="21"/>
        </w:rPr>
        <w:t>”</w:t>
      </w:r>
      <w:r>
        <w:rPr>
          <w:rFonts w:eastAsia="宋体" w:hAnsi="宋体"/>
          <w:kern w:val="0"/>
          <w:szCs w:val="21"/>
        </w:rPr>
        <w:t>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widowControl/>
        <w:ind w:firstLine="420" w:firstLineChars="200"/>
        <w:jc w:val="left"/>
        <w:rPr>
          <w:rFonts w:eastAsia="宋体"/>
          <w:kern w:val="0"/>
          <w:szCs w:val="21"/>
        </w:rPr>
      </w:pPr>
      <w:r>
        <w:rPr>
          <w:rFonts w:hint="eastAsia"/>
          <w:kern w:val="0"/>
          <w:szCs w:val="21"/>
          <w:lang w:val="en-US" w:eastAsia="zh-CN"/>
        </w:rPr>
        <w:t>10</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widowControl/>
        <w:ind w:firstLine="420" w:firstLineChars="200"/>
        <w:jc w:val="left"/>
        <w:rPr>
          <w:rFonts w:eastAsia="宋体"/>
          <w:kern w:val="0"/>
          <w:szCs w:val="21"/>
        </w:rPr>
      </w:pPr>
      <w:r>
        <w:rPr>
          <w:rFonts w:hint="eastAsia"/>
          <w:kern w:val="0"/>
          <w:szCs w:val="21"/>
          <w:lang w:val="en-US" w:eastAsia="zh-CN"/>
        </w:rPr>
        <w:t>11</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承诺中标后项目不转包，不进行分包。</w:t>
      </w:r>
    </w:p>
    <w:p>
      <w:pPr>
        <w:widowControl/>
        <w:ind w:firstLine="420" w:firstLineChars="200"/>
        <w:jc w:val="left"/>
        <w:rPr>
          <w:rFonts w:eastAsia="宋体"/>
          <w:kern w:val="0"/>
          <w:szCs w:val="21"/>
        </w:rPr>
      </w:pPr>
      <w:r>
        <w:rPr>
          <w:rFonts w:eastAsia="宋体"/>
          <w:kern w:val="0"/>
          <w:szCs w:val="21"/>
        </w:rPr>
        <w:t>1</w:t>
      </w:r>
      <w:r>
        <w:rPr>
          <w:rFonts w:hint="eastAsia"/>
          <w:kern w:val="0"/>
          <w:szCs w:val="21"/>
          <w:lang w:val="en-US" w:eastAsia="zh-CN"/>
        </w:rPr>
        <w:t>2</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widowControl/>
        <w:ind w:firstLine="420" w:firstLineChars="200"/>
        <w:jc w:val="left"/>
        <w:rPr>
          <w:rFonts w:eastAsia="宋体"/>
          <w:kern w:val="0"/>
          <w:szCs w:val="21"/>
        </w:rPr>
      </w:pPr>
      <w:r>
        <w:rPr>
          <w:rFonts w:eastAsia="宋体"/>
          <w:kern w:val="0"/>
          <w:szCs w:val="21"/>
        </w:rPr>
        <w:t>1</w:t>
      </w:r>
      <w:r>
        <w:rPr>
          <w:rFonts w:hint="eastAsia"/>
          <w:kern w:val="0"/>
          <w:szCs w:val="21"/>
          <w:lang w:val="en-US" w:eastAsia="zh-CN"/>
        </w:rPr>
        <w:t>3</w:t>
      </w:r>
      <w:r>
        <w:rPr>
          <w:rFonts w:eastAsia="宋体"/>
          <w:kern w:val="0"/>
          <w:szCs w:val="21"/>
        </w:rPr>
        <w:t>.</w:t>
      </w:r>
      <w:r>
        <w:rPr>
          <w:rFonts w:eastAsia="宋体" w:hAnsi="宋体"/>
          <w:kern w:val="0"/>
          <w:szCs w:val="21"/>
        </w:rPr>
        <w:t>我单位</w:t>
      </w:r>
      <w:r>
        <w:rPr>
          <w:rFonts w:hAnsi="宋体" w:hint="eastAsia"/>
          <w:kern w:val="0"/>
          <w:szCs w:val="21"/>
          <w:lang w:eastAsia="zh-CN"/>
        </w:rPr>
        <w:t>（</w:t>
      </w:r>
      <w:r>
        <w:rPr>
          <w:rFonts w:hAnsi="宋体" w:hint="eastAsia"/>
          <w:kern w:val="0"/>
          <w:szCs w:val="21"/>
          <w:lang w:val="en-US" w:eastAsia="zh-CN"/>
        </w:rPr>
        <w:t>联合体</w:t>
      </w:r>
      <w:r>
        <w:rPr>
          <w:rFonts w:hAnsi="宋体" w:hint="eastAsia"/>
          <w:kern w:val="0"/>
          <w:szCs w:val="21"/>
          <w:lang w:eastAsia="zh-CN"/>
        </w:rPr>
        <w:t>）</w:t>
      </w:r>
      <w:r>
        <w:rPr>
          <w:rFonts w:eastAsia="宋体" w:hAnsi="宋体"/>
          <w:kern w:val="0"/>
          <w:szCs w:val="21"/>
        </w:rPr>
        <w:t>保证，若所投货物涉及《财政部生态环境部关于印发节能产品政府采购品目清单的通知》（财库〔</w:t>
      </w:r>
      <w:r>
        <w:rPr>
          <w:rFonts w:eastAsia="宋体"/>
          <w:kern w:val="0"/>
          <w:szCs w:val="21"/>
        </w:rPr>
        <w:t>2019</w:t>
      </w:r>
      <w:r>
        <w:rPr>
          <w:rFonts w:eastAsia="宋体" w:hAnsi="宋体"/>
          <w:kern w:val="0"/>
          <w:szCs w:val="21"/>
        </w:rPr>
        <w:t>〕</w:t>
      </w:r>
      <w:r>
        <w:rPr>
          <w:rFonts w:eastAsia="宋体"/>
          <w:kern w:val="0"/>
          <w:szCs w:val="21"/>
        </w:rPr>
        <w:t>19</w:t>
      </w:r>
      <w:r>
        <w:rPr>
          <w:rFonts w:eastAsia="宋体" w:hAnsi="宋体"/>
          <w:kern w:val="0"/>
          <w:szCs w:val="21"/>
        </w:rPr>
        <w:t>号）列明的政府采购强制产品，则所投该产品符合节能产品的认证要求。</w:t>
      </w:r>
    </w:p>
    <w:p>
      <w:pPr>
        <w:ind w:firstLine="645"/>
        <w:rPr>
          <w:rFonts w:eastAsia="宋体" w:hAnsi="宋体" w:hint="default"/>
          <w:kern w:val="0"/>
          <w:szCs w:val="21"/>
          <w:lang w:val="en-US" w:eastAsia="zh-CN"/>
        </w:rPr>
      </w:pPr>
      <w:r>
        <w:rPr>
          <w:rFonts w:hAnsi="宋体" w:hint="eastAsia"/>
          <w:kern w:val="0"/>
          <w:szCs w:val="21"/>
          <w:lang w:val="en-US" w:eastAsia="zh-CN"/>
        </w:rPr>
        <w:t>14.</w:t>
      </w:r>
      <w:r>
        <w:rPr>
          <w:rFonts w:ascii="宋体" w:eastAsia="宋体" w:hAnsi="宋体" w:cs="宋体" w:hint="eastAsia"/>
        </w:rPr>
        <w:t>.本项目</w:t>
      </w:r>
      <w:r>
        <w:rPr>
          <w:rFonts w:ascii="宋体" w:eastAsia="宋体" w:hAnsi="宋体" w:cs="宋体" w:hint="eastAsia"/>
          <w:lang w:val="en-US" w:eastAsia="zh-CN"/>
        </w:rPr>
        <w:t>不</w:t>
      </w:r>
      <w:r>
        <w:rPr>
          <w:rFonts w:ascii="宋体" w:eastAsia="宋体" w:hAnsi="宋体" w:cs="宋体" w:hint="eastAsia"/>
        </w:rPr>
        <w:t>接受联合体投标</w:t>
      </w:r>
      <w:r>
        <w:rPr>
          <w:rFonts w:ascii="宋体" w:eastAsia="宋体" w:hAnsi="宋体" w:cs="宋体" w:hint="eastAsia"/>
          <w:lang w:eastAsia="zh-CN"/>
        </w:rPr>
        <w:t>、</w:t>
      </w:r>
      <w:r>
        <w:rPr>
          <w:rFonts w:ascii="宋体" w:eastAsia="宋体" w:hAnsi="宋体" w:cs="宋体" w:hint="eastAsia"/>
          <w:lang w:val="en-US" w:eastAsia="zh-CN"/>
        </w:rPr>
        <w:t>不允许分包、转包</w:t>
      </w:r>
      <w:r>
        <w:rPr>
          <w:rFonts w:ascii="宋体" w:eastAsia="宋体" w:hAnsi="宋体" w:cs="宋体" w:hint="eastAsia"/>
          <w:lang w:eastAsia="zh-CN"/>
        </w:rPr>
        <w:t>。</w:t>
      </w:r>
    </w:p>
    <w:p>
      <w:pPr>
        <w:ind w:firstLine="645"/>
        <w:rPr>
          <w:szCs w:val="21"/>
        </w:rPr>
      </w:pPr>
      <w:r>
        <w:rPr>
          <w:rFonts w:eastAsia="宋体" w:hAnsi="宋体"/>
          <w:kern w:val="0"/>
          <w:szCs w:val="21"/>
        </w:rPr>
        <w:t>以上承诺，如有违反，愿依照国家相关法律法规处理，并承担由此给采购人带来的损失</w:t>
      </w:r>
      <w:r>
        <w:rPr>
          <w:szCs w:val="21"/>
        </w:rPr>
        <w:t>。</w:t>
      </w:r>
    </w:p>
    <w:p>
      <w:pPr>
        <w:ind w:firstLine="645"/>
        <w:rPr>
          <w:szCs w:val="21"/>
        </w:rPr>
      </w:pPr>
    </w:p>
    <w:p>
      <w:pPr>
        <w:spacing w:line="400" w:lineRule="exact"/>
      </w:pPr>
      <w:r>
        <w:rPr>
          <w:rFonts w:hint="eastAsia"/>
        </w:rPr>
        <w:t xml:space="preserve">投标人名称： </w:t>
      </w:r>
    </w:p>
    <w:p>
      <w:pPr>
        <w:spacing w:line="400" w:lineRule="exact"/>
      </w:pPr>
      <w:r>
        <w:rPr>
          <w:rFonts w:hint="eastAsia"/>
        </w:rPr>
        <w:t xml:space="preserve">法定代表人（单位负责人）或委托代理人： </w:t>
      </w:r>
    </w:p>
    <w:p>
      <w:pPr>
        <w:spacing w:line="400" w:lineRule="exact"/>
      </w:pPr>
      <w:r>
        <w:rPr>
          <w:rFonts w:hint="eastAsia"/>
        </w:rPr>
        <w:t>日期：   年   月   日</w:t>
      </w:r>
    </w:p>
    <w:p>
      <w:pPr>
        <w:pStyle w:val="Heading2"/>
        <w:numPr>
          <w:ilvl w:val="1"/>
          <w:numId w:val="0"/>
        </w:numPr>
        <w:spacing w:line="400" w:lineRule="exact"/>
        <w:ind w:firstLine="402"/>
        <w:jc w:val="center"/>
        <w:rPr>
          <w:rFonts w:cs="Times New Roman" w:hint="eastAsia"/>
        </w:rPr>
      </w:pPr>
      <w:r>
        <w:rPr>
          <w:szCs w:val="21"/>
        </w:rPr>
        <w:br w:type="page"/>
      </w:r>
      <w:bookmarkStart w:id="348" w:name="_Toc28626"/>
      <w:bookmarkStart w:id="349" w:name="_Toc9750"/>
      <w:bookmarkStart w:id="350" w:name="_Toc62"/>
      <w:bookmarkStart w:id="351" w:name="_Toc25668"/>
      <w:bookmarkStart w:id="352" w:name="_Toc256000066"/>
      <w:r>
        <w:rPr>
          <w:rFonts w:cs="Times New Roman" w:hint="eastAsia"/>
        </w:rPr>
        <w:t>格式</w:t>
      </w:r>
      <w:r>
        <w:rPr>
          <w:rFonts w:cs="Times New Roman" w:hint="eastAsia"/>
          <w:lang w:val="en-US" w:eastAsia="zh-CN"/>
        </w:rPr>
        <w:t>6</w:t>
      </w:r>
      <w:r>
        <w:rPr>
          <w:rFonts w:cs="Times New Roman" w:hint="eastAsia"/>
        </w:rPr>
        <w:t>：供应商基本情况表</w:t>
      </w:r>
      <w:bookmarkEnd w:id="352"/>
      <w:bookmarkEnd w:id="348"/>
      <w:bookmarkEnd w:id="349"/>
      <w:bookmarkEnd w:id="350"/>
      <w:bookmarkEnd w:id="351"/>
    </w:p>
    <w:tbl>
      <w:tblPr>
        <w:tblStyle w:val="TableNormal"/>
        <w:tblW w:w="5000" w:type="pct"/>
        <w:tblInd w:w="0" w:type="dxa"/>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Pr>
      <w:tblGrid>
        <w:gridCol w:w="787"/>
        <w:gridCol w:w="26"/>
        <w:gridCol w:w="564"/>
        <w:gridCol w:w="1454"/>
        <w:gridCol w:w="830"/>
        <w:gridCol w:w="78"/>
        <w:gridCol w:w="741"/>
        <w:gridCol w:w="640"/>
        <w:gridCol w:w="545"/>
        <w:gridCol w:w="508"/>
        <w:gridCol w:w="18"/>
        <w:gridCol w:w="1151"/>
        <w:gridCol w:w="1178"/>
      </w:tblGrid>
      <w:tr>
        <w:tblPrEx>
          <w:tblW w:w="5000" w:type="pct"/>
          <w:tblInd w:w="0" w:type="dxa"/>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采购人名称</w:t>
            </w:r>
          </w:p>
        </w:tc>
        <w:tc>
          <w:tcPr>
            <w:tcW w:w="1340"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177"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项目名称</w:t>
            </w:r>
          </w:p>
        </w:tc>
        <w:tc>
          <w:tcPr>
            <w:tcW w:w="1674"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投标人名称</w:t>
            </w:r>
          </w:p>
        </w:tc>
        <w:tc>
          <w:tcPr>
            <w:tcW w:w="1340"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177"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投标人</w:t>
            </w:r>
            <w:r>
              <w:rPr>
                <w:rFonts w:eastAsia="宋体" w:hint="eastAsia"/>
                <w:kern w:val="2"/>
                <w:sz w:val="21"/>
                <w:szCs w:val="21"/>
                <w:lang w:eastAsia="zh-CN"/>
              </w:rPr>
              <w:t>统一社会信用代码</w:t>
            </w:r>
          </w:p>
        </w:tc>
        <w:tc>
          <w:tcPr>
            <w:tcW w:w="1674"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注册地址</w:t>
            </w:r>
          </w:p>
        </w:tc>
        <w:tc>
          <w:tcPr>
            <w:tcW w:w="2197" w:type="pct"/>
            <w:gridSpan w:val="5"/>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29"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邮政编码</w:t>
            </w:r>
          </w:p>
        </w:tc>
        <w:tc>
          <w:tcPr>
            <w:tcW w:w="136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vMerge w:val="restar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联系方式</w:t>
            </w:r>
          </w:p>
        </w:tc>
        <w:tc>
          <w:tcPr>
            <w:tcW w:w="853"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联系人</w:t>
            </w:r>
          </w:p>
        </w:tc>
        <w:tc>
          <w:tcPr>
            <w:tcW w:w="1344"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29"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电 话</w:t>
            </w:r>
          </w:p>
        </w:tc>
        <w:tc>
          <w:tcPr>
            <w:tcW w:w="136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vMerge/>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853"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传  真</w:t>
            </w:r>
          </w:p>
        </w:tc>
        <w:tc>
          <w:tcPr>
            <w:tcW w:w="1344"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29"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网 址</w:t>
            </w:r>
          </w:p>
        </w:tc>
        <w:tc>
          <w:tcPr>
            <w:tcW w:w="136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单位简介</w:t>
            </w:r>
          </w:p>
        </w:tc>
        <w:tc>
          <w:tcPr>
            <w:tcW w:w="4192" w:type="pct"/>
            <w:gridSpan w:val="10"/>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法定代表人</w:t>
            </w:r>
          </w:p>
        </w:tc>
        <w:tc>
          <w:tcPr>
            <w:tcW w:w="853"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姓名</w:t>
            </w:r>
          </w:p>
        </w:tc>
        <w:tc>
          <w:tcPr>
            <w:tcW w:w="96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994"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电话</w:t>
            </w:r>
          </w:p>
        </w:tc>
        <w:tc>
          <w:tcPr>
            <w:tcW w:w="1377"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项目负责人</w:t>
            </w:r>
          </w:p>
        </w:tc>
        <w:tc>
          <w:tcPr>
            <w:tcW w:w="853"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姓名</w:t>
            </w:r>
          </w:p>
        </w:tc>
        <w:tc>
          <w:tcPr>
            <w:tcW w:w="96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994"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电话</w:t>
            </w:r>
          </w:p>
        </w:tc>
        <w:tc>
          <w:tcPr>
            <w:tcW w:w="1377"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成立时间</w:t>
            </w:r>
          </w:p>
        </w:tc>
        <w:tc>
          <w:tcPr>
            <w:tcW w:w="853"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96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员工总人数</w:t>
            </w:r>
          </w:p>
        </w:tc>
        <w:tc>
          <w:tcPr>
            <w:tcW w:w="2371" w:type="pct"/>
            <w:gridSpan w:val="6"/>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注册资金</w:t>
            </w:r>
          </w:p>
        </w:tc>
        <w:tc>
          <w:tcPr>
            <w:tcW w:w="4192" w:type="pct"/>
            <w:gridSpan w:val="10"/>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ind w:firstLine="105" w:firstLineChars="50"/>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开户银行</w:t>
            </w:r>
          </w:p>
        </w:tc>
        <w:tc>
          <w:tcPr>
            <w:tcW w:w="4192" w:type="pct"/>
            <w:gridSpan w:val="10"/>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ind w:firstLine="105" w:firstLineChars="50"/>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80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kern w:val="2"/>
                <w:sz w:val="21"/>
                <w:szCs w:val="21"/>
                <w:lang w:eastAsia="zh-CN"/>
              </w:rPr>
              <w:t>账号</w:t>
            </w:r>
          </w:p>
        </w:tc>
        <w:tc>
          <w:tcPr>
            <w:tcW w:w="4192" w:type="pct"/>
            <w:gridSpan w:val="10"/>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ind w:firstLine="105" w:firstLineChars="50"/>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615"/>
        </w:trPr>
        <w:tc>
          <w:tcPr>
            <w:tcW w:w="5000" w:type="pct"/>
            <w:gridSpan w:val="1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b/>
                <w:bCs/>
                <w:kern w:val="2"/>
                <w:sz w:val="21"/>
                <w:szCs w:val="21"/>
                <w:lang w:eastAsia="zh-CN"/>
              </w:rPr>
            </w:pPr>
            <w:r>
              <w:rPr>
                <w:rFonts w:eastAsia="宋体" w:hint="eastAsia"/>
                <w:b/>
                <w:bCs/>
                <w:kern w:val="2"/>
                <w:sz w:val="21"/>
                <w:szCs w:val="21"/>
                <w:lang w:eastAsia="zh-CN"/>
              </w:rPr>
              <w:t>投标（响应）供应商相关人员情况</w:t>
            </w: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序号</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职务</w:t>
            </w:r>
          </w:p>
        </w:tc>
        <w:tc>
          <w:tcPr>
            <w:tcW w:w="533"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姓名</w:t>
            </w:r>
          </w:p>
        </w:tc>
        <w:tc>
          <w:tcPr>
            <w:tcW w:w="1429"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身份证号码</w:t>
            </w:r>
          </w:p>
        </w:tc>
        <w:tc>
          <w:tcPr>
            <w:tcW w:w="686" w:type="pct"/>
            <w:gridSpan w:val="2"/>
            <w:tcBorders>
              <w:top w:val="single" w:sz="4" w:space="0" w:color="auto"/>
              <w:left w:val="single" w:sz="4" w:space="0" w:color="auto"/>
              <w:bottom w:val="single" w:sz="4" w:space="0" w:color="auto"/>
              <w:right w:val="single" w:sz="4" w:space="0" w:color="auto"/>
            </w:tcBorders>
            <w:vAlign w:val="center"/>
          </w:tcPr>
          <w:p>
            <w:pPr>
              <w:widowControl w:val="0"/>
              <w:snapToGrid w:val="0"/>
              <w:jc w:val="center"/>
              <w:rPr>
                <w:rFonts w:eastAsia="宋体"/>
                <w:kern w:val="2"/>
                <w:sz w:val="21"/>
                <w:szCs w:val="21"/>
                <w:lang w:eastAsia="zh-CN"/>
              </w:rPr>
            </w:pPr>
            <w:r>
              <w:rPr>
                <w:rFonts w:eastAsia="宋体" w:hint="eastAsia"/>
                <w:kern w:val="2"/>
                <w:sz w:val="21"/>
                <w:szCs w:val="21"/>
                <w:lang w:eastAsia="zh-CN"/>
              </w:rPr>
              <w:t>劳动合同</w:t>
            </w:r>
          </w:p>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关系单位</w:t>
            </w:r>
          </w:p>
        </w:tc>
        <w:tc>
          <w:tcPr>
            <w:tcW w:w="691" w:type="pct"/>
            <w:tcBorders>
              <w:top w:val="single" w:sz="4" w:space="0" w:color="auto"/>
              <w:left w:val="single" w:sz="4" w:space="0" w:color="auto"/>
              <w:bottom w:val="single" w:sz="4" w:space="0" w:color="auto"/>
              <w:right w:val="single" w:sz="4" w:space="0" w:color="auto"/>
            </w:tcBorders>
            <w:vAlign w:val="center"/>
          </w:tcPr>
          <w:p>
            <w:pPr>
              <w:widowControl w:val="0"/>
              <w:snapToGrid w:val="0"/>
              <w:jc w:val="center"/>
              <w:rPr>
                <w:rFonts w:eastAsia="宋体"/>
                <w:kern w:val="2"/>
                <w:sz w:val="21"/>
                <w:szCs w:val="21"/>
                <w:lang w:eastAsia="zh-CN"/>
              </w:rPr>
            </w:pPr>
            <w:r>
              <w:rPr>
                <w:rFonts w:eastAsia="宋体" w:hint="eastAsia"/>
                <w:kern w:val="2"/>
                <w:sz w:val="21"/>
                <w:szCs w:val="21"/>
                <w:lang w:eastAsia="zh-CN"/>
              </w:rPr>
              <w:t>缴纳社会</w:t>
            </w:r>
          </w:p>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保险单位</w:t>
            </w: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1</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法定代表人/单位负责人/主要经营负责人</w:t>
            </w:r>
          </w:p>
        </w:tc>
        <w:tc>
          <w:tcPr>
            <w:tcW w:w="533"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429"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8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91"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2</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项目投标授权代表人</w:t>
            </w:r>
          </w:p>
        </w:tc>
        <w:tc>
          <w:tcPr>
            <w:tcW w:w="533"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429"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8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91"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3</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项目负责人</w:t>
            </w:r>
          </w:p>
        </w:tc>
        <w:tc>
          <w:tcPr>
            <w:tcW w:w="533"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429"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8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91"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4</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主要技术人员</w:t>
            </w:r>
          </w:p>
        </w:tc>
        <w:tc>
          <w:tcPr>
            <w:tcW w:w="533"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429"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8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91"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5</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投标文件编制人员</w:t>
            </w:r>
          </w:p>
        </w:tc>
        <w:tc>
          <w:tcPr>
            <w:tcW w:w="533"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1429" w:type="pct"/>
            <w:gridSpan w:val="4"/>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86"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c>
          <w:tcPr>
            <w:tcW w:w="691"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p>
        </w:tc>
      </w:tr>
      <w:tr>
        <w:tblPrEx>
          <w:tblW w:w="5000" w:type="pct"/>
          <w:tblInd w:w="0" w:type="dxa"/>
          <w:tblLayout w:type="fixed"/>
          <w:tblCellMar>
            <w:top w:w="0" w:type="dxa"/>
            <w:left w:w="108" w:type="dxa"/>
            <w:bottom w:w="0" w:type="dxa"/>
            <w:right w:w="108" w:type="dxa"/>
          </w:tblCellMar>
        </w:tblPrEx>
        <w:trPr>
          <w:trHeight w:val="567"/>
        </w:trPr>
        <w:tc>
          <w:tcPr>
            <w:tcW w:w="5000" w:type="pct"/>
            <w:gridSpan w:val="1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说明：同一职务有多人担任（如主要技术人员），应分行填写。</w:t>
            </w:r>
          </w:p>
        </w:tc>
      </w:tr>
      <w:tr>
        <w:tblPrEx>
          <w:tblW w:w="5000" w:type="pct"/>
          <w:tblInd w:w="0" w:type="dxa"/>
          <w:tblLayout w:type="fixed"/>
          <w:tblCellMar>
            <w:top w:w="0" w:type="dxa"/>
            <w:left w:w="108" w:type="dxa"/>
            <w:bottom w:w="0" w:type="dxa"/>
            <w:right w:w="108" w:type="dxa"/>
          </w:tblCellMar>
        </w:tblPrEx>
        <w:trPr>
          <w:trHeight w:val="567"/>
        </w:trPr>
        <w:tc>
          <w:tcPr>
            <w:tcW w:w="5000" w:type="pct"/>
            <w:gridSpan w:val="1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b/>
                <w:bCs/>
                <w:kern w:val="2"/>
                <w:sz w:val="21"/>
                <w:szCs w:val="21"/>
                <w:lang w:eastAsia="zh-CN"/>
              </w:rPr>
            </w:pPr>
            <w:r>
              <w:rPr>
                <w:rFonts w:eastAsia="宋体" w:hint="eastAsia"/>
                <w:b/>
                <w:bCs/>
                <w:kern w:val="2"/>
                <w:sz w:val="21"/>
                <w:szCs w:val="21"/>
                <w:lang w:eastAsia="zh-CN"/>
              </w:rPr>
              <w:t>投标（响应）供应商关联关系情况（股东构成审查表）</w:t>
            </w: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序号</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关联关系类型</w:t>
            </w:r>
          </w:p>
        </w:tc>
        <w:tc>
          <w:tcPr>
            <w:tcW w:w="96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关联主体名称</w:t>
            </w:r>
          </w:p>
        </w:tc>
        <w:tc>
          <w:tcPr>
            <w:tcW w:w="2371" w:type="pct"/>
            <w:gridSpan w:val="6"/>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center"/>
              <w:rPr>
                <w:rFonts w:eastAsia="宋体"/>
                <w:kern w:val="2"/>
                <w:sz w:val="21"/>
                <w:szCs w:val="21"/>
                <w:lang w:eastAsia="zh-CN"/>
              </w:rPr>
            </w:pPr>
            <w:r>
              <w:rPr>
                <w:rFonts w:eastAsia="宋体" w:hint="eastAsia"/>
                <w:kern w:val="2"/>
                <w:sz w:val="21"/>
                <w:szCs w:val="21"/>
                <w:lang w:eastAsia="zh-CN"/>
              </w:rPr>
              <w:t>备注</w:t>
            </w: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1</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控股股东</w:t>
            </w:r>
          </w:p>
        </w:tc>
        <w:tc>
          <w:tcPr>
            <w:tcW w:w="96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p>
        </w:tc>
        <w:tc>
          <w:tcPr>
            <w:tcW w:w="2371" w:type="pct"/>
            <w:gridSpan w:val="6"/>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W w:w="5000" w:type="pct"/>
          <w:tblInd w:w="0" w:type="dxa"/>
          <w:tblLayout w:type="fixed"/>
          <w:tblCellMar>
            <w:top w:w="0" w:type="dxa"/>
            <w:left w:w="108" w:type="dxa"/>
            <w:bottom w:w="0" w:type="dxa"/>
            <w:right w:w="108" w:type="dxa"/>
          </w:tblCellMar>
        </w:tblPrEx>
        <w:trPr>
          <w:trHeight w:val="567"/>
        </w:trPr>
        <w:tc>
          <w:tcPr>
            <w:tcW w:w="477"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2</w:t>
            </w:r>
          </w:p>
        </w:tc>
        <w:tc>
          <w:tcPr>
            <w:tcW w:w="1184" w:type="pct"/>
            <w:gridSpan w:val="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管理关系</w:t>
            </w:r>
          </w:p>
        </w:tc>
        <w:tc>
          <w:tcPr>
            <w:tcW w:w="968" w:type="pct"/>
            <w:gridSpan w:val="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p>
        </w:tc>
        <w:tc>
          <w:tcPr>
            <w:tcW w:w="2371" w:type="pct"/>
            <w:gridSpan w:val="6"/>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指对投标（响应）供应商不具有出资持股关系，但对其存在管理关系的主体。</w:t>
            </w:r>
          </w:p>
        </w:tc>
      </w:tr>
      <w:tr>
        <w:tblPrEx>
          <w:tblW w:w="5000" w:type="pct"/>
          <w:tblInd w:w="0" w:type="dxa"/>
          <w:tblLayout w:type="fixed"/>
          <w:tblCellMar>
            <w:top w:w="0" w:type="dxa"/>
            <w:left w:w="108" w:type="dxa"/>
            <w:bottom w:w="0" w:type="dxa"/>
            <w:right w:w="108" w:type="dxa"/>
          </w:tblCellMar>
        </w:tblPrEx>
        <w:trPr>
          <w:trHeight w:val="567"/>
        </w:trPr>
        <w:tc>
          <w:tcPr>
            <w:tcW w:w="5000" w:type="pct"/>
            <w:gridSpan w:val="13"/>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hint="eastAsia"/>
                <w:kern w:val="2"/>
                <w:sz w:val="21"/>
                <w:szCs w:val="21"/>
                <w:lang w:eastAsia="zh-CN"/>
              </w:rPr>
              <w:t>说明：同一关联关系类型有多个主体的，应分行填写。</w:t>
            </w:r>
          </w:p>
        </w:tc>
      </w:tr>
      <w:tr>
        <w:tblPrEx>
          <w:tblW w:w="5000" w:type="pct"/>
          <w:tblInd w:w="0" w:type="dxa"/>
          <w:tblLayout w:type="fixed"/>
          <w:tblCellMar>
            <w:top w:w="0" w:type="dxa"/>
            <w:left w:w="108" w:type="dxa"/>
            <w:bottom w:w="0" w:type="dxa"/>
            <w:right w:w="108" w:type="dxa"/>
          </w:tblCellMar>
        </w:tblPrEx>
        <w:trPr>
          <w:trHeight w:val="567"/>
        </w:trPr>
        <w:tc>
          <w:tcPr>
            <w:tcW w:w="462" w:type="pct"/>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r>
              <w:rPr>
                <w:rFonts w:eastAsia="宋体"/>
                <w:kern w:val="2"/>
                <w:sz w:val="21"/>
                <w:szCs w:val="21"/>
                <w:lang w:eastAsia="zh-CN"/>
              </w:rPr>
              <w:t>备注</w:t>
            </w:r>
          </w:p>
        </w:tc>
        <w:tc>
          <w:tcPr>
            <w:tcW w:w="4538" w:type="pct"/>
            <w:gridSpan w:val="12"/>
            <w:tcBorders>
              <w:top w:val="single" w:sz="4" w:space="0" w:color="auto"/>
              <w:left w:val="single" w:sz="4" w:space="0" w:color="auto"/>
              <w:bottom w:val="single" w:sz="4" w:space="0" w:color="auto"/>
              <w:right w:val="single" w:sz="4" w:space="0" w:color="auto"/>
            </w:tcBorders>
            <w:vAlign w:val="center"/>
          </w:tcPr>
          <w:p>
            <w:pPr>
              <w:widowControl w:val="0"/>
              <w:topLinePunct/>
              <w:spacing w:line="440" w:lineRule="exact"/>
              <w:jc w:val="both"/>
              <w:rPr>
                <w:rFonts w:eastAsia="宋体"/>
                <w:kern w:val="2"/>
                <w:sz w:val="21"/>
                <w:szCs w:val="21"/>
                <w:lang w:eastAsia="zh-CN"/>
              </w:rPr>
            </w:pPr>
          </w:p>
        </w:tc>
      </w:tr>
    </w:tbl>
    <w:p>
      <w:pPr>
        <w:widowControl w:val="0"/>
        <w:spacing w:line="400" w:lineRule="exact"/>
        <w:jc w:val="both"/>
        <w:rPr>
          <w:rFonts w:ascii="Calibri" w:eastAsia="宋体" w:hAnsi="Calibri"/>
          <w:kern w:val="2"/>
          <w:sz w:val="21"/>
          <w:szCs w:val="22"/>
          <w:lang w:eastAsia="zh-CN"/>
        </w:rPr>
      </w:pPr>
      <w:r>
        <w:rPr>
          <w:rFonts w:ascii="Calibri" w:eastAsia="宋体" w:hAnsi="Calibri" w:cstheme="minorBidi" w:hint="eastAsia"/>
          <w:kern w:val="2"/>
          <w:sz w:val="21"/>
          <w:szCs w:val="22"/>
          <w:lang w:eastAsia="zh-CN"/>
        </w:rPr>
        <w:t>注：1、投标人可以在本表之外另行以文字等方式对投标人基本情况加以描述内容。</w:t>
      </w:r>
    </w:p>
    <w:p>
      <w:pPr>
        <w:widowControl w:val="0"/>
        <w:spacing w:line="400" w:lineRule="exact"/>
        <w:jc w:val="both"/>
        <w:rPr>
          <w:rFonts w:ascii="Calibri" w:eastAsia="宋体" w:hAnsi="Calibri"/>
          <w:color w:val="FF0000"/>
          <w:kern w:val="2"/>
          <w:sz w:val="21"/>
          <w:szCs w:val="22"/>
          <w:lang w:eastAsia="zh-CN"/>
        </w:rPr>
      </w:pPr>
      <w:r>
        <w:rPr>
          <w:rFonts w:ascii="Calibri" w:eastAsia="宋体" w:hAnsi="Calibri" w:cstheme="minorBidi" w:hint="eastAsia"/>
          <w:color w:val="FF0000"/>
          <w:kern w:val="2"/>
          <w:sz w:val="21"/>
          <w:szCs w:val="22"/>
          <w:lang w:eastAsia="zh-CN"/>
        </w:rPr>
        <w:t>2、不同供应商的法定代表人、主要经营负责人、项目投标授权代表人、项目负责人、主要技术人员</w:t>
      </w:r>
      <w:r>
        <w:rPr>
          <w:rFonts w:ascii="Calibri" w:eastAsia="宋体" w:hAnsi="Calibri" w:cstheme="minorBidi" w:hint="eastAsia"/>
          <w:b/>
          <w:bCs/>
          <w:color w:val="FF0000"/>
          <w:kern w:val="2"/>
          <w:sz w:val="21"/>
          <w:szCs w:val="22"/>
          <w:lang w:eastAsia="zh-CN"/>
        </w:rPr>
        <w:t>不得</w:t>
      </w:r>
      <w:r>
        <w:rPr>
          <w:rFonts w:ascii="Calibri" w:eastAsia="宋体" w:hAnsi="Calibri" w:cstheme="minorBidi" w:hint="eastAsia"/>
          <w:color w:val="FF0000"/>
          <w:kern w:val="2"/>
          <w:sz w:val="21"/>
          <w:szCs w:val="22"/>
          <w:lang w:eastAsia="zh-CN"/>
        </w:rPr>
        <w:t>为同一人、属同一单位或者在同一单位缴纳社会保险；不同投标供应商的投标文件</w:t>
      </w:r>
      <w:r>
        <w:rPr>
          <w:rFonts w:ascii="Calibri" w:eastAsia="宋体" w:hAnsi="Calibri" w:cstheme="minorBidi" w:hint="eastAsia"/>
          <w:b/>
          <w:bCs/>
          <w:color w:val="FF0000"/>
          <w:kern w:val="2"/>
          <w:sz w:val="21"/>
          <w:szCs w:val="22"/>
          <w:lang w:eastAsia="zh-CN"/>
        </w:rPr>
        <w:t>不得</w:t>
      </w:r>
      <w:r>
        <w:rPr>
          <w:rFonts w:ascii="Calibri" w:eastAsia="宋体" w:hAnsi="Calibri" w:cstheme="minorBidi" w:hint="eastAsia"/>
          <w:color w:val="FF0000"/>
          <w:kern w:val="2"/>
          <w:sz w:val="21"/>
          <w:szCs w:val="22"/>
          <w:lang w:eastAsia="zh-CN"/>
        </w:rPr>
        <w:t>由同一单位或者同一人编制；单位负责人为同一人或者存在直接控股、管理关系的不同供应商，</w:t>
      </w:r>
      <w:r>
        <w:rPr>
          <w:rFonts w:ascii="Calibri" w:eastAsia="宋体" w:hAnsi="Calibri" w:cstheme="minorBidi" w:hint="eastAsia"/>
          <w:b/>
          <w:bCs/>
          <w:color w:val="FF0000"/>
          <w:kern w:val="2"/>
          <w:sz w:val="21"/>
          <w:szCs w:val="22"/>
          <w:lang w:eastAsia="zh-CN"/>
        </w:rPr>
        <w:t>不得</w:t>
      </w:r>
      <w:r>
        <w:rPr>
          <w:rFonts w:ascii="Calibri" w:eastAsia="宋体" w:hAnsi="Calibri" w:cstheme="minorBidi" w:hint="eastAsia"/>
          <w:color w:val="FF0000"/>
          <w:kern w:val="2"/>
          <w:sz w:val="21"/>
          <w:szCs w:val="22"/>
          <w:lang w:eastAsia="zh-CN"/>
        </w:rPr>
        <w:t>参加本项目政府采购活动。否则其投标无效。</w:t>
      </w:r>
    </w:p>
    <w:p>
      <w:pPr>
        <w:spacing w:line="400" w:lineRule="exact"/>
        <w:jc w:val="left"/>
        <w:rPr>
          <w:rFonts w:hint="eastAsia"/>
          <w:b/>
          <w:bCs/>
          <w:color w:val="000000"/>
          <w:highlight w:val="yellow"/>
        </w:rPr>
      </w:pPr>
    </w:p>
    <w:p>
      <w:pPr>
        <w:spacing w:line="400" w:lineRule="exact"/>
        <w:jc w:val="left"/>
        <w:rPr>
          <w:rFonts w:hint="eastAsia"/>
          <w:b/>
          <w:bCs/>
          <w:color w:val="000000"/>
          <w:highlight w:val="yellow"/>
        </w:rPr>
      </w:pPr>
      <w:r>
        <w:rPr>
          <w:rFonts w:hint="eastAsia"/>
          <w:b/>
          <w:bCs/>
          <w:color w:val="000000"/>
          <w:highlight w:val="yellow"/>
        </w:rPr>
        <w:t>提示：《供应商基本情况表》为投标文件不可缺少组成部分，未提供或提供不完整、不符合要求的，将可能导致投标无效。</w:t>
      </w:r>
    </w:p>
    <w:p>
      <w:pPr>
        <w:spacing w:line="400" w:lineRule="exact"/>
        <w:rPr>
          <w:rFonts w:hint="eastAsia"/>
          <w:color w:val="000000"/>
        </w:rPr>
      </w:pPr>
    </w:p>
    <w:p>
      <w:pPr>
        <w:spacing w:line="400" w:lineRule="exact"/>
        <w:rPr>
          <w:rFonts w:hint="eastAsia"/>
          <w:color w:val="000000"/>
        </w:rPr>
      </w:pPr>
    </w:p>
    <w:p>
      <w:pPr>
        <w:spacing w:line="400" w:lineRule="exact"/>
        <w:rPr>
          <w:color w:val="000000"/>
        </w:rPr>
      </w:pPr>
      <w:r>
        <w:rPr>
          <w:rFonts w:hint="eastAsia"/>
          <w:color w:val="000000"/>
        </w:rPr>
        <w:t>投标人名称：</w:t>
      </w:r>
    </w:p>
    <w:p>
      <w:pPr>
        <w:spacing w:line="400" w:lineRule="exact"/>
        <w:rPr>
          <w:color w:val="000000"/>
        </w:rPr>
      </w:pPr>
      <w:r>
        <w:rPr>
          <w:rFonts w:hint="eastAsia"/>
          <w:color w:val="000000"/>
        </w:rPr>
        <w:t>法定代表人（单位负责人）或委托代理人：</w:t>
      </w:r>
    </w:p>
    <w:p>
      <w:pPr>
        <w:spacing w:line="400" w:lineRule="exact"/>
        <w:rPr>
          <w:szCs w:val="21"/>
        </w:rPr>
      </w:pPr>
      <w:r>
        <w:rPr>
          <w:rFonts w:hint="eastAsia"/>
          <w:color w:val="000000"/>
        </w:rPr>
        <w:t>日期：</w:t>
      </w:r>
      <w:r>
        <w:rPr>
          <w:rFonts w:hint="eastAsia"/>
          <w:color w:val="000000"/>
          <w:lang w:val="en-US" w:eastAsia="zh-CN"/>
        </w:rPr>
        <w:t xml:space="preserve">      </w:t>
      </w:r>
      <w:r>
        <w:rPr>
          <w:rFonts w:hint="eastAsia"/>
          <w:color w:val="000000"/>
        </w:rPr>
        <w:t>年</w:t>
      </w:r>
      <w:r>
        <w:rPr>
          <w:rFonts w:hint="eastAsia"/>
          <w:color w:val="000000"/>
          <w:lang w:val="en-US" w:eastAsia="zh-CN"/>
        </w:rPr>
        <w:t xml:space="preserve">    </w:t>
      </w:r>
      <w:r>
        <w:rPr>
          <w:rFonts w:hint="eastAsia"/>
          <w:color w:val="000000"/>
        </w:rPr>
        <w:t>月</w:t>
      </w:r>
      <w:r>
        <w:rPr>
          <w:rFonts w:hint="eastAsia"/>
          <w:color w:val="000000"/>
          <w:lang w:val="en-US" w:eastAsia="zh-CN"/>
        </w:rPr>
        <w:t xml:space="preserve">    </w:t>
      </w:r>
      <w:r>
        <w:rPr>
          <w:rFonts w:hint="eastAsia"/>
          <w:color w:val="000000"/>
        </w:rPr>
        <w:t>日</w:t>
      </w:r>
      <w:r>
        <w:rPr>
          <w:szCs w:val="21"/>
        </w:rPr>
        <w:br w:type="page"/>
      </w:r>
    </w:p>
    <w:p>
      <w:pPr>
        <w:spacing w:line="400" w:lineRule="exact"/>
      </w:pPr>
    </w:p>
    <w:p>
      <w:pPr>
        <w:pStyle w:val="Heading2"/>
        <w:spacing w:line="400" w:lineRule="exact"/>
        <w:jc w:val="center"/>
      </w:pPr>
      <w:bookmarkStart w:id="353" w:name="_Toc9170"/>
      <w:bookmarkStart w:id="354" w:name="_Toc32082"/>
      <w:bookmarkStart w:id="355" w:name="_Toc4224"/>
      <w:bookmarkStart w:id="356" w:name="_Toc32756"/>
      <w:bookmarkStart w:id="357" w:name="_Toc6531"/>
      <w:bookmarkStart w:id="358" w:name="_Toc25328"/>
      <w:bookmarkStart w:id="359" w:name="_Toc2018"/>
      <w:bookmarkStart w:id="360" w:name="_Toc25092"/>
      <w:bookmarkStart w:id="361" w:name="_Toc256000067"/>
      <w:r>
        <w:rPr>
          <w:color w:val="000000"/>
        </w:rPr>
        <w:t>格式</w:t>
      </w:r>
      <w:r>
        <w:rPr>
          <w:rFonts w:hint="eastAsia"/>
          <w:color w:val="000000"/>
          <w:lang w:val="en-US" w:eastAsia="zh-CN"/>
        </w:rPr>
        <w:t>7</w:t>
      </w:r>
      <w:r>
        <w:rPr>
          <w:color w:val="000000"/>
        </w:rPr>
        <w:t>：开标一览表</w:t>
      </w:r>
      <w:bookmarkEnd w:id="361"/>
      <w:bookmarkEnd w:id="353"/>
      <w:bookmarkEnd w:id="354"/>
      <w:bookmarkEnd w:id="355"/>
      <w:bookmarkEnd w:id="356"/>
      <w:bookmarkEnd w:id="357"/>
    </w:p>
    <w:p>
      <w:pPr>
        <w:spacing w:line="400" w:lineRule="exact"/>
      </w:pPr>
    </w:p>
    <w:p>
      <w:pPr>
        <w:spacing w:line="400" w:lineRule="exact"/>
      </w:pPr>
      <w:r>
        <w:rPr>
          <w:rFonts w:hint="eastAsia"/>
          <w:lang w:val="en-US" w:eastAsia="zh-CN"/>
        </w:rPr>
        <w:t>项目</w:t>
      </w:r>
      <w:r>
        <w:rPr>
          <w:rFonts w:hint="eastAsia"/>
        </w:rPr>
        <w:t>名称：</w:t>
      </w:r>
      <w:r>
        <w:rPr>
          <w:rFonts w:hint="eastAsia"/>
          <w:lang w:val="en-US" w:eastAsia="zh-CN"/>
        </w:rPr>
        <w:t xml:space="preserve">                                             </w:t>
      </w:r>
      <w:r>
        <w:rPr>
          <w:rFonts w:hint="eastAsia"/>
        </w:rPr>
        <w:t>招标编号：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073"/>
        <w:gridCol w:w="3240"/>
        <w:gridCol w:w="18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jc w:val="center"/>
        </w:trPr>
        <w:tc>
          <w:tcPr>
            <w:tcW w:w="3073" w:type="dxa"/>
            <w:tcBorders>
              <w:top w:val="single" w:sz="4" w:space="0" w:color="auto"/>
              <w:left w:val="single" w:sz="4" w:space="0" w:color="auto"/>
              <w:bottom w:val="single" w:sz="4" w:space="0" w:color="auto"/>
              <w:right w:val="single" w:sz="4" w:space="0" w:color="auto"/>
            </w:tcBorders>
            <w:vAlign w:val="bottom"/>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sz w:val="21"/>
                <w:szCs w:val="21"/>
              </w:rPr>
            </w:pPr>
            <w:r>
              <w:rPr>
                <w:rFonts w:hint="eastAsia"/>
                <w:sz w:val="21"/>
                <w:szCs w:val="21"/>
              </w:rPr>
              <w:t>项目名称</w:t>
            </w:r>
          </w:p>
        </w:tc>
        <w:tc>
          <w:tcPr>
            <w:tcW w:w="3240" w:type="dxa"/>
            <w:tcBorders>
              <w:top w:val="single" w:sz="4" w:space="0" w:color="auto"/>
              <w:left w:val="single" w:sz="4" w:space="0" w:color="auto"/>
              <w:bottom w:val="single" w:sz="4" w:space="0" w:color="auto"/>
              <w:right w:val="single" w:sz="4" w:space="0" w:color="auto"/>
            </w:tcBorders>
            <w:vAlign w:val="bottom"/>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sz w:val="21"/>
                <w:szCs w:val="21"/>
                <w:lang w:eastAsia="zh-CN"/>
              </w:rPr>
            </w:pPr>
            <w:r>
              <w:rPr>
                <w:rFonts w:hint="eastAsia"/>
                <w:sz w:val="21"/>
                <w:szCs w:val="21"/>
                <w:lang w:eastAsia="zh-CN"/>
              </w:rPr>
              <w:t>投标总价</w:t>
            </w:r>
          </w:p>
        </w:tc>
        <w:tc>
          <w:tcPr>
            <w:tcW w:w="1800" w:type="dxa"/>
            <w:tcBorders>
              <w:top w:val="single" w:sz="4" w:space="0" w:color="auto"/>
              <w:left w:val="single" w:sz="4" w:space="0" w:color="auto"/>
              <w:bottom w:val="single" w:sz="4" w:space="0" w:color="auto"/>
              <w:right w:val="single" w:sz="4" w:space="0" w:color="auto"/>
            </w:tcBorders>
            <w:vAlign w:val="bottom"/>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sz w:val="21"/>
                <w:szCs w:val="21"/>
              </w:rPr>
            </w:pPr>
            <w:r>
              <w:rPr>
                <w:rFonts w:hint="eastAsia"/>
                <w:sz w:val="21"/>
                <w:szCs w:val="21"/>
              </w:rPr>
              <w:t>备注</w:t>
            </w:r>
          </w:p>
        </w:tc>
      </w:tr>
      <w:tr>
        <w:tblPrEx>
          <w:tblW w:w="0" w:type="auto"/>
          <w:jc w:val="center"/>
          <w:tblLayout w:type="fixed"/>
          <w:tblCellMar>
            <w:top w:w="0" w:type="dxa"/>
            <w:left w:w="108" w:type="dxa"/>
            <w:bottom w:w="0" w:type="dxa"/>
            <w:right w:w="108" w:type="dxa"/>
          </w:tblCellMar>
        </w:tblPrEx>
        <w:trPr>
          <w:cantSplit/>
          <w:jc w:val="center"/>
        </w:trPr>
        <w:tc>
          <w:tcPr>
            <w:tcW w:w="3073" w:type="dxa"/>
            <w:tcBorders>
              <w:top w:val="single" w:sz="4" w:space="0" w:color="auto"/>
              <w:left w:val="single" w:sz="4" w:space="0" w:color="auto"/>
              <w:bottom w:val="single" w:sz="4" w:space="0" w:color="auto"/>
              <w:right w:val="single" w:sz="4" w:space="0" w:color="auto"/>
            </w:tcBorders>
          </w:tcPr>
          <w:p>
            <w:pPr>
              <w:tabs>
                <w:tab w:val="left" w:pos="654"/>
                <w:tab w:val="left" w:pos="1734"/>
                <w:tab w:val="left" w:pos="2814"/>
                <w:tab w:val="left" w:pos="3894"/>
                <w:tab w:val="left" w:pos="5334"/>
                <w:tab w:val="left" w:pos="6414"/>
                <w:tab w:val="left" w:pos="7254"/>
                <w:tab w:val="left" w:pos="8574"/>
                <w:tab w:val="left" w:pos="9654"/>
              </w:tabs>
              <w:spacing w:line="400" w:lineRule="exact"/>
              <w:rPr>
                <w:sz w:val="21"/>
                <w:szCs w:val="21"/>
              </w:rPr>
            </w:pPr>
          </w:p>
        </w:tc>
        <w:tc>
          <w:tcPr>
            <w:tcW w:w="3240" w:type="dxa"/>
            <w:tcBorders>
              <w:top w:val="single" w:sz="4" w:space="0" w:color="auto"/>
              <w:left w:val="single" w:sz="4" w:space="0" w:color="auto"/>
              <w:bottom w:val="single" w:sz="4" w:space="0" w:color="auto"/>
              <w:right w:val="single" w:sz="4" w:space="0" w:color="auto"/>
            </w:tcBorders>
          </w:tcPr>
          <w:p>
            <w:pPr>
              <w:tabs>
                <w:tab w:val="left" w:pos="654"/>
                <w:tab w:val="left" w:pos="1734"/>
                <w:tab w:val="left" w:pos="2814"/>
                <w:tab w:val="left" w:pos="3894"/>
                <w:tab w:val="left" w:pos="5334"/>
                <w:tab w:val="left" w:pos="6414"/>
                <w:tab w:val="left" w:pos="7254"/>
                <w:tab w:val="left" w:pos="8574"/>
                <w:tab w:val="left" w:pos="9654"/>
              </w:tabs>
              <w:spacing w:line="400" w:lineRule="exact"/>
              <w:rPr>
                <w:sz w:val="21"/>
                <w:szCs w:val="21"/>
              </w:rPr>
            </w:pPr>
          </w:p>
        </w:tc>
        <w:tc>
          <w:tcPr>
            <w:tcW w:w="1800" w:type="dxa"/>
            <w:tcBorders>
              <w:top w:val="single" w:sz="4" w:space="0" w:color="auto"/>
              <w:left w:val="single" w:sz="4" w:space="0" w:color="auto"/>
              <w:bottom w:val="single" w:sz="4" w:space="0" w:color="auto"/>
              <w:right w:val="single" w:sz="4" w:space="0" w:color="auto"/>
            </w:tcBorders>
          </w:tcPr>
          <w:p>
            <w:pPr>
              <w:tabs>
                <w:tab w:val="left" w:pos="654"/>
                <w:tab w:val="left" w:pos="1734"/>
                <w:tab w:val="left" w:pos="2814"/>
                <w:tab w:val="left" w:pos="3894"/>
                <w:tab w:val="left" w:pos="5334"/>
                <w:tab w:val="left" w:pos="6414"/>
                <w:tab w:val="left" w:pos="7254"/>
                <w:tab w:val="left" w:pos="8574"/>
                <w:tab w:val="left" w:pos="9654"/>
              </w:tabs>
              <w:spacing w:line="400" w:lineRule="exact"/>
              <w:rPr>
                <w:sz w:val="21"/>
                <w:szCs w:val="21"/>
              </w:rPr>
            </w:pPr>
          </w:p>
        </w:tc>
      </w:tr>
    </w:tbl>
    <w:p>
      <w:pPr>
        <w:spacing w:line="400" w:lineRule="exact"/>
        <w:rPr>
          <w:rFonts w:hint="eastAsia"/>
          <w:lang w:val="en-US" w:eastAsia="zh-CN"/>
        </w:rPr>
      </w:pPr>
    </w:p>
    <w:p>
      <w:pPr>
        <w:spacing w:line="400" w:lineRule="exact"/>
      </w:pPr>
    </w:p>
    <w:p>
      <w:pPr>
        <w:spacing w:line="400" w:lineRule="exact"/>
      </w:pPr>
      <w:r>
        <w:rPr>
          <w:rFonts w:hint="eastAsia"/>
        </w:rPr>
        <w:t xml:space="preserve">投标人名称： </w:t>
      </w:r>
    </w:p>
    <w:p>
      <w:pPr>
        <w:spacing w:line="400" w:lineRule="exact"/>
      </w:pPr>
      <w:r>
        <w:rPr>
          <w:rFonts w:hint="eastAsia"/>
        </w:rPr>
        <w:t xml:space="preserve">法定代表人（单位负责人）或委托代理人： </w:t>
      </w:r>
    </w:p>
    <w:p>
      <w:pPr>
        <w:spacing w:line="400" w:lineRule="exact"/>
      </w:pPr>
      <w:r>
        <w:rPr>
          <w:rFonts w:hint="eastAsia"/>
        </w:rPr>
        <w:t>日期：   年   月   日</w:t>
      </w:r>
    </w:p>
    <w:p>
      <w:pPr>
        <w:spacing w:line="400" w:lineRule="exact"/>
      </w:pPr>
    </w:p>
    <w:p>
      <w:pPr>
        <w:spacing w:line="400" w:lineRule="exact"/>
      </w:pPr>
      <w:r>
        <w:rPr>
          <w:rFonts w:hint="eastAsia"/>
        </w:rPr>
        <w:br w:type="page"/>
      </w:r>
    </w:p>
    <w:p>
      <w:pPr>
        <w:spacing w:line="400" w:lineRule="exact"/>
      </w:pPr>
    </w:p>
    <w:p>
      <w:pPr>
        <w:pStyle w:val="Heading2"/>
        <w:spacing w:line="400" w:lineRule="exact"/>
        <w:jc w:val="center"/>
      </w:pPr>
      <w:bookmarkStart w:id="362" w:name="_Toc24733"/>
      <w:bookmarkStart w:id="363" w:name="_Toc32686"/>
      <w:bookmarkStart w:id="364" w:name="_Toc256000068"/>
      <w:r>
        <w:t>格式</w:t>
      </w:r>
      <w:r>
        <w:rPr>
          <w:rFonts w:hint="eastAsia"/>
          <w:lang w:val="en-US" w:eastAsia="zh-CN"/>
        </w:rPr>
        <w:t>8</w:t>
      </w:r>
      <w:r>
        <w:t>：投标分项报价表</w:t>
      </w:r>
      <w:bookmarkEnd w:id="364"/>
      <w:bookmarkEnd w:id="358"/>
      <w:bookmarkEnd w:id="359"/>
      <w:bookmarkEnd w:id="360"/>
      <w:bookmarkEnd w:id="362"/>
      <w:bookmarkEnd w:id="363"/>
    </w:p>
    <w:p>
      <w:pPr>
        <w:spacing w:line="400" w:lineRule="exact"/>
      </w:pPr>
    </w:p>
    <w:p>
      <w:pPr>
        <w:spacing w:line="400" w:lineRule="exact"/>
      </w:pPr>
      <w:r>
        <w:rPr>
          <w:rFonts w:hint="eastAsia"/>
          <w:lang w:eastAsia="zh-CN"/>
        </w:rPr>
        <w:t>项目名称</w:t>
      </w:r>
      <w:r>
        <w:rPr>
          <w:rFonts w:hint="eastAsia"/>
        </w:rPr>
        <w:t>：</w:t>
      </w:r>
      <w:r>
        <w:rPr>
          <w:rFonts w:hint="eastAsia"/>
          <w:u w:val="single"/>
        </w:rPr>
        <w:t>　　　　　　　　　　</w:t>
      </w:r>
      <w:r>
        <w:rPr>
          <w:rFonts w:hint="eastAsia"/>
        </w:rPr>
        <w:t>　　招标编号：</w:t>
      </w:r>
      <w:r>
        <w:rPr>
          <w:rFonts w:hint="eastAsia"/>
          <w:u w:val="single"/>
        </w:rPr>
        <w:t>　　　　　　　　　　　</w:t>
      </w:r>
    </w:p>
    <w:tbl>
      <w:tblPr>
        <w:tblStyle w:val="TableNormal"/>
        <w:tblW w:w="0" w:type="auto"/>
        <w:tblInd w:w="0" w:type="dxa"/>
        <w:tblLayout w:type="fixed"/>
        <w:tblCellMar>
          <w:top w:w="0" w:type="dxa"/>
          <w:left w:w="108" w:type="dxa"/>
          <w:bottom w:w="0" w:type="dxa"/>
          <w:right w:w="108" w:type="dxa"/>
        </w:tblCellMar>
      </w:tblPr>
      <w:tblGrid>
        <w:gridCol w:w="648"/>
        <w:gridCol w:w="2160"/>
        <w:gridCol w:w="1836"/>
        <w:gridCol w:w="1701"/>
        <w:gridCol w:w="1276"/>
        <w:gridCol w:w="1307"/>
      </w:tblGrid>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序号</w:t>
            </w:r>
          </w:p>
        </w:tc>
        <w:tc>
          <w:tcPr>
            <w:tcW w:w="2160"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名称</w:t>
            </w:r>
          </w:p>
        </w:tc>
        <w:tc>
          <w:tcPr>
            <w:tcW w:w="1836"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数量</w:t>
            </w:r>
          </w:p>
        </w:tc>
        <w:tc>
          <w:tcPr>
            <w:tcW w:w="1701"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单价</w:t>
            </w:r>
          </w:p>
        </w:tc>
        <w:tc>
          <w:tcPr>
            <w:tcW w:w="1276"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总价</w:t>
            </w:r>
          </w:p>
        </w:tc>
        <w:tc>
          <w:tcPr>
            <w:tcW w:w="1307"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备注</w:t>
            </w: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r>
              <w:rPr>
                <w:color w:val="000000"/>
              </w:rPr>
              <w:t>1</w:t>
            </w:r>
          </w:p>
        </w:tc>
        <w:tc>
          <w:tcPr>
            <w:tcW w:w="2160" w:type="dxa"/>
            <w:tcBorders>
              <w:top w:val="single" w:sz="4" w:space="0" w:color="auto"/>
              <w:left w:val="single" w:sz="4" w:space="0" w:color="auto"/>
              <w:bottom w:val="single" w:sz="4" w:space="0" w:color="auto"/>
              <w:right w:val="single" w:sz="4" w:space="0" w:color="auto"/>
            </w:tcBorders>
            <w:vAlign w:val="center"/>
          </w:tcPr>
          <w:p>
            <w:pPr>
              <w:widowControl/>
              <w:spacing w:line="400" w:lineRule="exact"/>
              <w:jc w:val="center"/>
              <w:textAlignment w:val="center"/>
              <w:rPr>
                <w:rFonts w:eastAsia="仿宋" w:hint="eastAsia"/>
                <w:color w:val="000000"/>
                <w:kern w:val="0"/>
                <w:szCs w:val="21"/>
                <w:lang w:val="en-US" w:eastAsia="zh-CN"/>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r>
              <w:rPr>
                <w:color w:val="000000"/>
              </w:rPr>
              <w:t>2</w:t>
            </w:r>
          </w:p>
        </w:tc>
        <w:tc>
          <w:tcPr>
            <w:tcW w:w="2160" w:type="dxa"/>
            <w:tcBorders>
              <w:top w:val="single" w:sz="4" w:space="0" w:color="auto"/>
              <w:left w:val="single" w:sz="4" w:space="0" w:color="auto"/>
              <w:bottom w:val="single" w:sz="4" w:space="0" w:color="auto"/>
              <w:right w:val="single" w:sz="4" w:space="0" w:color="auto"/>
            </w:tcBorders>
            <w:vAlign w:val="center"/>
          </w:tcPr>
          <w:p>
            <w:pPr>
              <w:widowControl/>
              <w:spacing w:line="400" w:lineRule="exact"/>
              <w:jc w:val="center"/>
              <w:textAlignment w:val="center"/>
              <w:rPr>
                <w:rFonts w:eastAsia="仿宋" w:hint="default"/>
                <w:color w:val="000000"/>
                <w:kern w:val="0"/>
                <w:szCs w:val="21"/>
                <w:lang w:val="en-US" w:eastAsia="zh-CN"/>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r>
              <w:rPr>
                <w:color w:val="000000"/>
              </w:rPr>
              <w:t>3</w:t>
            </w:r>
          </w:p>
        </w:tc>
        <w:tc>
          <w:tcPr>
            <w:tcW w:w="2160"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rFonts w:eastAsia="宋体" w:hint="default"/>
                <w:color w:val="000000"/>
                <w:szCs w:val="21"/>
                <w:lang w:val="en-US" w:eastAsia="zh-CN"/>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2160"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2160"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2160"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48"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2160" w:type="dxa"/>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p>
        </w:tc>
        <w:tc>
          <w:tcPr>
            <w:tcW w:w="183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276"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c>
          <w:tcPr>
            <w:tcW w:w="1307" w:type="dxa"/>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r>
        <w:tblPrEx>
          <w:tblW w:w="0" w:type="auto"/>
          <w:tblInd w:w="0" w:type="dxa"/>
          <w:tblLayout w:type="fixed"/>
          <w:tblCellMar>
            <w:top w:w="0" w:type="dxa"/>
            <w:left w:w="108" w:type="dxa"/>
            <w:bottom w:w="0" w:type="dxa"/>
            <w:right w:w="108" w:type="dxa"/>
          </w:tblCellMar>
        </w:tblPrEx>
        <w:tc>
          <w:tcPr>
            <w:tcW w:w="6345" w:type="dxa"/>
            <w:gridSpan w:val="4"/>
            <w:tcBorders>
              <w:top w:val="single" w:sz="4" w:space="0" w:color="auto"/>
              <w:left w:val="single" w:sz="4" w:space="0" w:color="auto"/>
              <w:bottom w:val="single" w:sz="4" w:space="0" w:color="auto"/>
              <w:right w:val="single" w:sz="4" w:space="0" w:color="auto"/>
            </w:tcBorders>
            <w:vAlign w:val="center"/>
          </w:tcPr>
          <w:p>
            <w:pPr>
              <w:tabs>
                <w:tab w:val="left" w:pos="654"/>
                <w:tab w:val="left" w:pos="1734"/>
                <w:tab w:val="left" w:pos="2814"/>
                <w:tab w:val="left" w:pos="3894"/>
                <w:tab w:val="left" w:pos="5334"/>
                <w:tab w:val="left" w:pos="6414"/>
                <w:tab w:val="left" w:pos="7254"/>
                <w:tab w:val="left" w:pos="8574"/>
                <w:tab w:val="left" w:pos="9654"/>
              </w:tabs>
              <w:spacing w:line="400" w:lineRule="exact"/>
              <w:jc w:val="center"/>
              <w:rPr>
                <w:color w:val="000000"/>
                <w:szCs w:val="21"/>
              </w:rPr>
            </w:pPr>
            <w:r>
              <w:rPr>
                <w:color w:val="000000"/>
                <w:szCs w:val="21"/>
              </w:rPr>
              <w:t>总价</w:t>
            </w:r>
          </w:p>
        </w:tc>
        <w:tc>
          <w:tcPr>
            <w:tcW w:w="2583" w:type="dxa"/>
            <w:gridSpan w:val="2"/>
            <w:tcBorders>
              <w:top w:val="single" w:sz="4" w:space="0" w:color="auto"/>
              <w:left w:val="single" w:sz="4" w:space="0" w:color="auto"/>
              <w:bottom w:val="single" w:sz="4" w:space="0" w:color="auto"/>
              <w:right w:val="single" w:sz="4" w:space="0" w:color="auto"/>
            </w:tcBorders>
            <w:vAlign w:val="center"/>
          </w:tcPr>
          <w:p>
            <w:pPr>
              <w:spacing w:line="400" w:lineRule="exact"/>
              <w:jc w:val="center"/>
              <w:rPr>
                <w:color w:val="000000"/>
              </w:rPr>
            </w:pPr>
          </w:p>
        </w:tc>
      </w:tr>
    </w:tbl>
    <w:p>
      <w:pPr>
        <w:spacing w:line="400" w:lineRule="exact"/>
      </w:pPr>
      <w:r>
        <w:rPr>
          <w:rFonts w:hint="eastAsia"/>
        </w:rPr>
        <w:t>注：</w:t>
      </w:r>
    </w:p>
    <w:p>
      <w:pPr>
        <w:spacing w:line="400" w:lineRule="exact"/>
      </w:pPr>
      <w:r>
        <w:rPr>
          <w:rFonts w:hint="eastAsia"/>
        </w:rPr>
        <w:t>1.上述各项的详细分项报价，应另页描述。</w:t>
      </w:r>
    </w:p>
    <w:p>
      <w:pPr>
        <w:spacing w:line="400" w:lineRule="exact"/>
      </w:pPr>
      <w:r>
        <w:rPr>
          <w:rFonts w:hint="eastAsia"/>
        </w:rPr>
        <w:t>2.该表格式仅作参考，投标人的详细报价表格式可自定。以上内容必须与《开标一览表》一致。</w:t>
      </w:r>
    </w:p>
    <w:p>
      <w:pPr>
        <w:spacing w:line="400" w:lineRule="exact"/>
      </w:pPr>
      <w:r>
        <w:rPr>
          <w:rFonts w:hint="eastAsia"/>
        </w:rPr>
        <w:t>3.详细分项报价必须提供相应的单价、数量、合计等详细信息。</w:t>
      </w:r>
    </w:p>
    <w:p>
      <w:pPr>
        <w:spacing w:line="400" w:lineRule="exact"/>
      </w:pPr>
    </w:p>
    <w:p>
      <w:pPr>
        <w:pStyle w:val="NormalIndent"/>
        <w:ind w:left="0" w:firstLine="0" w:leftChars="0" w:firstLineChars="0"/>
      </w:pPr>
    </w:p>
    <w:p>
      <w:pPr>
        <w:spacing w:line="400" w:lineRule="exact"/>
      </w:pPr>
    </w:p>
    <w:p>
      <w:pPr>
        <w:spacing w:line="400" w:lineRule="exact"/>
      </w:pPr>
      <w:r>
        <w:rPr>
          <w:rFonts w:hint="eastAsia"/>
        </w:rPr>
        <w:t xml:space="preserve">投标人名称： </w:t>
      </w:r>
    </w:p>
    <w:p>
      <w:pPr>
        <w:spacing w:line="400" w:lineRule="exact"/>
      </w:pPr>
      <w:r>
        <w:rPr>
          <w:rFonts w:hint="eastAsia"/>
        </w:rPr>
        <w:t xml:space="preserve">法定代表人（单位负责人）或委托代理人： </w:t>
      </w:r>
    </w:p>
    <w:p>
      <w:pPr>
        <w:spacing w:line="400" w:lineRule="exact"/>
      </w:pPr>
      <w:r>
        <w:rPr>
          <w:rFonts w:hint="eastAsia"/>
        </w:rPr>
        <w:t>日期：   年   月   日</w:t>
      </w:r>
    </w:p>
    <w:p>
      <w:pPr>
        <w:spacing w:line="400" w:lineRule="exact"/>
      </w:pPr>
    </w:p>
    <w:p>
      <w:pPr>
        <w:spacing w:line="400" w:lineRule="exact"/>
        <w:jc w:val="left"/>
      </w:pPr>
    </w:p>
    <w:p>
      <w:pPr>
        <w:spacing w:line="400" w:lineRule="exact"/>
        <w:jc w:val="left"/>
      </w:pPr>
      <w:r>
        <w:br w:type="page"/>
      </w:r>
    </w:p>
    <w:p>
      <w:pPr>
        <w:spacing w:line="400" w:lineRule="exact"/>
      </w:pPr>
    </w:p>
    <w:p>
      <w:pPr>
        <w:keepNext/>
        <w:keepLines/>
        <w:widowControl w:val="0"/>
        <w:jc w:val="center"/>
        <w:outlineLvl w:val="1"/>
        <w:rPr>
          <w:rFonts w:ascii="黑体" w:eastAsia="黑体" w:hAnsi="黑体" w:cs="黑体" w:hint="eastAsia"/>
          <w:b/>
          <w:bCs/>
          <w:kern w:val="2"/>
          <w:sz w:val="32"/>
          <w:szCs w:val="32"/>
          <w:lang w:val="en-US" w:eastAsia="zh-CN" w:bidi="ar-SA"/>
        </w:rPr>
      </w:pPr>
      <w:bookmarkStart w:id="365" w:name="_Toc12543"/>
      <w:bookmarkStart w:id="366" w:name="_Toc1281"/>
      <w:bookmarkStart w:id="367" w:name="_Toc29457"/>
      <w:bookmarkStart w:id="368" w:name="_Toc30514"/>
      <w:bookmarkStart w:id="369" w:name="_Toc8010"/>
      <w:bookmarkStart w:id="370" w:name="_Toc256000069"/>
      <w:r>
        <w:rPr>
          <w:rFonts w:ascii="黑体" w:eastAsia="黑体" w:hAnsi="黑体" w:cs="黑体" w:hint="eastAsia"/>
          <w:b/>
          <w:bCs/>
          <w:kern w:val="2"/>
          <w:sz w:val="32"/>
          <w:szCs w:val="32"/>
          <w:lang w:val="en-US" w:eastAsia="zh-CN" w:bidi="ar-SA"/>
        </w:rPr>
        <w:t>格式9：</w:t>
      </w:r>
      <w:bookmarkEnd w:id="365"/>
      <w:bookmarkEnd w:id="366"/>
      <w:bookmarkEnd w:id="367"/>
      <w:bookmarkEnd w:id="368"/>
      <w:r>
        <w:rPr>
          <w:rFonts w:ascii="黑体" w:eastAsia="黑体" w:hAnsi="黑体" w:cs="黑体" w:hint="eastAsia"/>
          <w:b/>
          <w:bCs/>
          <w:kern w:val="2"/>
          <w:sz w:val="32"/>
          <w:szCs w:val="32"/>
          <w:lang w:val="en-US" w:eastAsia="zh-CN" w:bidi="ar-SA"/>
        </w:rPr>
        <w:t>技术和商务要求偏差表</w:t>
      </w:r>
      <w:bookmarkEnd w:id="370"/>
      <w:bookmarkEnd w:id="369"/>
    </w:p>
    <w:p>
      <w:pPr>
        <w:keepNext/>
        <w:keepLines/>
        <w:widowControl w:val="0"/>
        <w:spacing w:before="280" w:after="290" w:line="376" w:lineRule="auto"/>
        <w:ind w:firstLine="420" w:firstLineChars="200"/>
        <w:jc w:val="center"/>
        <w:outlineLvl w:val="2"/>
        <w:rPr>
          <w:rFonts w:ascii="黑体" w:eastAsia="黑体" w:hAnsi="黑体" w:cs="黑体" w:hint="eastAsia"/>
          <w:b/>
          <w:bCs/>
          <w:kern w:val="2"/>
          <w:sz w:val="28"/>
          <w:szCs w:val="28"/>
          <w:lang w:eastAsia="zh-CN"/>
        </w:rPr>
      </w:pPr>
      <w:bookmarkStart w:id="371" w:name="_Toc180404901"/>
      <w:bookmarkStart w:id="372" w:name="_Toc5769"/>
      <w:bookmarkStart w:id="373" w:name="_Toc31558"/>
      <w:bookmarkStart w:id="374" w:name="_Toc256000070"/>
      <w:r>
        <w:rPr>
          <w:rFonts w:ascii="黑体" w:eastAsia="黑体" w:hAnsi="黑体" w:cs="黑体" w:hint="eastAsia"/>
          <w:b/>
          <w:bCs/>
          <w:kern w:val="2"/>
          <w:sz w:val="28"/>
          <w:szCs w:val="28"/>
          <w:lang w:eastAsia="zh-CN"/>
        </w:rPr>
        <w:t>（一）实质性条款响应表</w:t>
      </w:r>
      <w:bookmarkEnd w:id="374"/>
      <w:bookmarkEnd w:id="371"/>
      <w:bookmarkEnd w:id="372"/>
      <w:bookmarkEnd w:id="373"/>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40"/>
        <w:gridCol w:w="5831"/>
        <w:gridCol w:w="892"/>
        <w:gridCol w:w="1159"/>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640" w:type="dxa"/>
            <w:tcBorders>
              <w:top w:val="single" w:sz="4" w:space="0" w:color="auto"/>
              <w:left w:val="single" w:sz="4" w:space="0" w:color="auto"/>
              <w:bottom w:val="single" w:sz="4" w:space="0" w:color="auto"/>
              <w:right w:val="single" w:sz="4" w:space="0" w:color="auto"/>
            </w:tcBorders>
            <w:vAlign w:val="center"/>
          </w:tcPr>
          <w:p>
            <w:pPr>
              <w:widowControl w:val="0"/>
              <w:spacing w:line="400" w:lineRule="exact"/>
              <w:jc w:val="center"/>
              <w:rPr>
                <w:rFonts w:eastAsia="宋体"/>
                <w:b/>
                <w:kern w:val="2"/>
                <w:sz w:val="21"/>
                <w:szCs w:val="21"/>
                <w:lang w:eastAsia="zh-CN"/>
              </w:rPr>
            </w:pPr>
            <w:r>
              <w:rPr>
                <w:rFonts w:ascii="宋体" w:eastAsia="宋体" w:hAnsi="宋体" w:cstheme="minorBidi"/>
                <w:b/>
                <w:kern w:val="2"/>
                <w:sz w:val="21"/>
                <w:szCs w:val="22"/>
                <w:lang w:eastAsia="zh-CN"/>
              </w:rPr>
              <w:t>序号</w:t>
            </w:r>
          </w:p>
        </w:tc>
        <w:tc>
          <w:tcPr>
            <w:tcW w:w="5831" w:type="dxa"/>
            <w:tcBorders>
              <w:top w:val="single" w:sz="4" w:space="0" w:color="auto"/>
              <w:left w:val="nil"/>
              <w:bottom w:val="single" w:sz="4" w:space="0" w:color="auto"/>
              <w:right w:val="single" w:sz="4" w:space="0" w:color="auto"/>
            </w:tcBorders>
            <w:vAlign w:val="center"/>
          </w:tcPr>
          <w:p>
            <w:pPr>
              <w:widowControl w:val="0"/>
              <w:spacing w:line="400" w:lineRule="exact"/>
              <w:jc w:val="center"/>
              <w:rPr>
                <w:rFonts w:eastAsia="宋体"/>
                <w:b/>
                <w:kern w:val="2"/>
                <w:sz w:val="21"/>
                <w:szCs w:val="22"/>
                <w:lang w:eastAsia="zh-CN"/>
              </w:rPr>
            </w:pPr>
            <w:r>
              <w:rPr>
                <w:rFonts w:eastAsia="宋体"/>
                <w:b/>
                <w:kern w:val="2"/>
                <w:sz w:val="21"/>
                <w:szCs w:val="21"/>
                <w:lang w:eastAsia="zh-CN"/>
              </w:rPr>
              <w:t>实质性条款具体内容</w:t>
            </w:r>
          </w:p>
        </w:tc>
        <w:tc>
          <w:tcPr>
            <w:tcW w:w="892" w:type="dxa"/>
            <w:tcBorders>
              <w:top w:val="single" w:sz="4" w:space="0" w:color="auto"/>
              <w:left w:val="nil"/>
              <w:bottom w:val="single" w:sz="4" w:space="0" w:color="auto"/>
              <w:right w:val="single" w:sz="4" w:space="0" w:color="auto"/>
            </w:tcBorders>
            <w:vAlign w:val="center"/>
          </w:tcPr>
          <w:p>
            <w:pPr>
              <w:widowControl w:val="0"/>
              <w:spacing w:line="400" w:lineRule="exact"/>
              <w:jc w:val="center"/>
              <w:rPr>
                <w:rFonts w:eastAsia="宋体"/>
                <w:b/>
                <w:kern w:val="2"/>
                <w:sz w:val="21"/>
                <w:szCs w:val="22"/>
                <w:lang w:eastAsia="zh-CN"/>
              </w:rPr>
            </w:pPr>
            <w:r>
              <w:rPr>
                <w:rFonts w:ascii="宋体" w:eastAsia="宋体" w:hAnsi="宋体" w:cstheme="minorBidi" w:hint="eastAsia"/>
                <w:b/>
                <w:kern w:val="2"/>
                <w:sz w:val="21"/>
                <w:szCs w:val="22"/>
                <w:lang w:eastAsia="zh-CN"/>
              </w:rPr>
              <w:t>偏差说明</w:t>
            </w:r>
          </w:p>
        </w:tc>
        <w:tc>
          <w:tcPr>
            <w:tcW w:w="1159" w:type="dxa"/>
            <w:tcBorders>
              <w:top w:val="single" w:sz="4" w:space="0" w:color="auto"/>
              <w:left w:val="nil"/>
              <w:bottom w:val="single" w:sz="4" w:space="0" w:color="auto"/>
              <w:right w:val="single" w:sz="4" w:space="0" w:color="auto"/>
            </w:tcBorders>
            <w:vAlign w:val="center"/>
          </w:tcPr>
          <w:p>
            <w:pPr>
              <w:widowControl w:val="0"/>
              <w:spacing w:line="400" w:lineRule="exact"/>
              <w:jc w:val="center"/>
              <w:rPr>
                <w:rFonts w:eastAsia="宋体"/>
                <w:b/>
                <w:kern w:val="2"/>
                <w:sz w:val="21"/>
                <w:szCs w:val="22"/>
                <w:lang w:eastAsia="zh-CN"/>
              </w:rPr>
            </w:pPr>
            <w:r>
              <w:rPr>
                <w:rFonts w:ascii="宋体" w:eastAsia="宋体" w:hAnsi="宋体" w:cstheme="minorBidi"/>
                <w:b/>
                <w:kern w:val="2"/>
                <w:sz w:val="21"/>
                <w:szCs w:val="22"/>
                <w:lang w:eastAsia="zh-CN"/>
              </w:rPr>
              <w:t>页码</w:t>
            </w:r>
          </w:p>
        </w:tc>
      </w:tr>
      <w:tr>
        <w:tblPrEx>
          <w:tblW w:w="5000" w:type="pct"/>
          <w:tblInd w:w="0" w:type="dxa"/>
          <w:tblCellMar>
            <w:top w:w="0" w:type="dxa"/>
            <w:left w:w="108" w:type="dxa"/>
            <w:bottom w:w="0" w:type="dxa"/>
            <w:right w:w="108" w:type="dxa"/>
          </w:tblCellMar>
        </w:tblPrEx>
        <w:tc>
          <w:tcPr>
            <w:tcW w:w="640" w:type="dxa"/>
            <w:tcBorders>
              <w:top w:val="single" w:sz="4" w:space="0" w:color="auto"/>
              <w:left w:val="single" w:sz="4" w:space="0" w:color="auto"/>
              <w:bottom w:val="single" w:sz="4" w:space="0" w:color="auto"/>
              <w:right w:val="single" w:sz="4" w:space="0" w:color="auto"/>
            </w:tcBorders>
            <w:vAlign w:val="top"/>
          </w:tcPr>
          <w:p>
            <w:pPr>
              <w:adjustRightInd w:val="0"/>
              <w:snapToGrid w:val="0"/>
              <w:spacing w:line="360" w:lineRule="auto"/>
              <w:jc w:val="center"/>
              <w:rPr>
                <w:rFonts w:eastAsia="宋体"/>
                <w:b w:val="0"/>
                <w:bCs/>
                <w:kern w:val="2"/>
                <w:sz w:val="21"/>
                <w:szCs w:val="22"/>
                <w:lang w:eastAsia="zh-CN"/>
              </w:rPr>
            </w:pPr>
            <w:r>
              <w:rPr>
                <w:rFonts w:ascii="宋体" w:hAnsi="宋体" w:cs="宋体" w:hint="eastAsia"/>
                <w:b/>
                <w:color w:val="000000" w:themeColor="text1"/>
                <w:sz w:val="21"/>
                <w:szCs w:val="21"/>
                <w:lang w:val="en-US" w:eastAsia="zh-CN"/>
                <w14:textFill>
                  <w14:solidFill>
                    <w14:schemeClr w14:val="tx1"/>
                  </w14:solidFill>
                </w14:textFill>
              </w:rPr>
              <w:t>3.31</w:t>
            </w:r>
          </w:p>
        </w:tc>
        <w:tc>
          <w:tcPr>
            <w:tcW w:w="5831" w:type="dxa"/>
            <w:tcBorders>
              <w:top w:val="single" w:sz="4" w:space="0" w:color="auto"/>
              <w:left w:val="nil"/>
              <w:bottom w:val="single" w:sz="4" w:space="0" w:color="auto"/>
              <w:right w:val="single" w:sz="4" w:space="0" w:color="auto"/>
            </w:tcBorders>
            <w:vAlign w:val="top"/>
          </w:tcPr>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6"/>
              <w:gridCol w:w="1896"/>
              <w:gridCol w:w="137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blHeader/>
                <w:jc w:val="center"/>
              </w:trPr>
              <w:tc>
                <w:tcPr>
                  <w:tcW w:w="63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序号</w:t>
                  </w:r>
                </w:p>
              </w:tc>
              <w:tc>
                <w:tcPr>
                  <w:tcW w:w="189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b/>
                      <w:bCs/>
                      <w:color w:val="auto"/>
                      <w:sz w:val="21"/>
                      <w:szCs w:val="21"/>
                      <w:highlight w:val="none"/>
                      <w:shd w:val="clear" w:color="FFFFFF" w:fill="D9D9D9"/>
                      <w:lang w:val="en-US" w:eastAsia="zh-CN"/>
                    </w:rPr>
                  </w:pPr>
                  <w:r>
                    <w:rPr>
                      <w:rFonts w:ascii="宋体" w:eastAsia="宋体" w:hAnsi="宋体" w:cs="宋体" w:hint="eastAsia"/>
                      <w:b/>
                      <w:bCs/>
                      <w:color w:val="auto"/>
                      <w:sz w:val="21"/>
                      <w:szCs w:val="21"/>
                      <w:highlight w:val="none"/>
                      <w:shd w:val="clear" w:color="FFFFFF" w:fill="D9D9D9"/>
                      <w:lang w:val="en-US" w:eastAsia="zh-CN"/>
                    </w:rPr>
                    <w:t>★岗位</w:t>
                  </w:r>
                </w:p>
              </w:tc>
              <w:tc>
                <w:tcPr>
                  <w:tcW w:w="1371"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b/>
                      <w:bCs/>
                      <w:color w:val="auto"/>
                      <w:sz w:val="21"/>
                      <w:szCs w:val="21"/>
                      <w:highlight w:val="none"/>
                      <w:shd w:val="clear" w:color="FFFFFF" w:fill="D9D9D9"/>
                      <w:lang w:val="en-US" w:eastAsia="zh-CN"/>
                    </w:rPr>
                  </w:pPr>
                  <w:r>
                    <w:rPr>
                      <w:rFonts w:ascii="宋体" w:eastAsia="宋体" w:hAnsi="宋体" w:cs="宋体" w:hint="eastAsia"/>
                      <w:b/>
                      <w:bCs/>
                      <w:color w:val="auto"/>
                      <w:sz w:val="21"/>
                      <w:szCs w:val="21"/>
                      <w:highlight w:val="none"/>
                      <w:shd w:val="clear" w:color="FFFFFF" w:fill="D9D9D9"/>
                      <w:lang w:val="en-US" w:eastAsia="zh-CN"/>
                    </w:rPr>
                    <w:t>★人数</w:t>
                  </w:r>
                </w:p>
              </w:tc>
            </w:tr>
            <w:tr>
              <w:tblPrEx>
                <w:tblW w:w="0" w:type="auto"/>
                <w:jc w:val="center"/>
                <w:tblCellMar>
                  <w:top w:w="0" w:type="dxa"/>
                  <w:left w:w="108" w:type="dxa"/>
                  <w:bottom w:w="0" w:type="dxa"/>
                  <w:right w:w="108" w:type="dxa"/>
                </w:tblCellMar>
              </w:tblPrEx>
              <w:trPr>
                <w:jc w:val="center"/>
              </w:trPr>
              <w:tc>
                <w:tcPr>
                  <w:tcW w:w="63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w:t>
                  </w:r>
                </w:p>
              </w:tc>
              <w:tc>
                <w:tcPr>
                  <w:tcW w:w="1896"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default"/>
                      <w:color w:val="auto"/>
                      <w:sz w:val="21"/>
                      <w:szCs w:val="21"/>
                      <w:highlight w:val="none"/>
                      <w:lang w:val="en-US" w:eastAsia="zh-CN"/>
                    </w:rPr>
                  </w:pPr>
                  <w:r>
                    <w:rPr>
                      <w:rFonts w:ascii="宋体" w:eastAsia="宋体" w:hAnsi="宋体" w:cs="宋体" w:hint="eastAsia"/>
                      <w:color w:val="auto"/>
                      <w:sz w:val="21"/>
                      <w:szCs w:val="21"/>
                      <w:highlight w:val="none"/>
                      <w:lang w:val="en-US" w:eastAsia="zh-CN"/>
                    </w:rPr>
                    <w:t>项目</w:t>
                  </w:r>
                  <w:r>
                    <w:rPr>
                      <w:rFonts w:ascii="宋体" w:hAnsi="宋体" w:cs="宋体" w:hint="eastAsia"/>
                      <w:color w:val="auto"/>
                      <w:sz w:val="21"/>
                      <w:szCs w:val="21"/>
                      <w:highlight w:val="none"/>
                      <w:lang w:val="en-US" w:eastAsia="zh-CN"/>
                    </w:rPr>
                    <w:t>负责人</w:t>
                  </w:r>
                </w:p>
              </w:tc>
              <w:tc>
                <w:tcPr>
                  <w:tcW w:w="1371"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1人</w:t>
                  </w:r>
                </w:p>
              </w:tc>
            </w:tr>
            <w:tr>
              <w:tblPrEx>
                <w:tblW w:w="0" w:type="auto"/>
                <w:jc w:val="center"/>
                <w:tblCellMar>
                  <w:top w:w="0" w:type="dxa"/>
                  <w:left w:w="108" w:type="dxa"/>
                  <w:bottom w:w="0" w:type="dxa"/>
                  <w:right w:w="108" w:type="dxa"/>
                </w:tblCellMar>
              </w:tblPrEx>
              <w:trPr>
                <w:jc w:val="center"/>
              </w:trPr>
              <w:tc>
                <w:tcPr>
                  <w:tcW w:w="636" w:type="dxa"/>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 w:val="21"/>
                      <w:szCs w:val="21"/>
                      <w:highlight w:val="none"/>
                      <w:lang w:val="en-US" w:eastAsia="zh-CN"/>
                    </w:rPr>
                    <w:t>2</w:t>
                  </w:r>
                </w:p>
              </w:tc>
              <w:tc>
                <w:tcPr>
                  <w:tcW w:w="1896"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eastAsia="宋体" w:hAnsi="宋体" w:cs="宋体" w:hint="eastAsia"/>
                      <w:color w:val="auto"/>
                      <w:szCs w:val="21"/>
                    </w:rPr>
                    <w:t>项目主要团队成员</w:t>
                  </w:r>
                </w:p>
              </w:tc>
              <w:tc>
                <w:tcPr>
                  <w:tcW w:w="1371" w:type="dxa"/>
                  <w:shd w:val="clear" w:color="auto" w:fill="auto"/>
                  <w:vAlign w:val="center"/>
                </w:tcPr>
                <w:p>
                  <w:pPr>
                    <w:pageBreakBefore w:val="0"/>
                    <w:widowControl w:val="0"/>
                    <w:kinsoku/>
                    <w:overflowPunct/>
                    <w:autoSpaceDE/>
                    <w:autoSpaceDN/>
                    <w:bidi w:val="0"/>
                    <w:snapToGrid/>
                    <w:spacing w:line="240" w:lineRule="auto"/>
                    <w:jc w:val="center"/>
                    <w:rPr>
                      <w:rFonts w:ascii="宋体" w:eastAsia="宋体" w:hAnsi="宋体" w:cs="宋体" w:hint="eastAsia"/>
                      <w:color w:val="auto"/>
                      <w:sz w:val="21"/>
                      <w:szCs w:val="21"/>
                      <w:highlight w:val="none"/>
                      <w:lang w:val="en-US" w:eastAsia="zh-CN"/>
                    </w:rPr>
                  </w:pPr>
                  <w:r>
                    <w:rPr>
                      <w:rFonts w:ascii="宋体" w:hAnsi="宋体" w:cs="宋体" w:hint="eastAsia"/>
                      <w:color w:val="auto"/>
                      <w:sz w:val="21"/>
                      <w:szCs w:val="21"/>
                      <w:highlight w:val="none"/>
                      <w:lang w:val="en-US" w:eastAsia="zh-CN"/>
                    </w:rPr>
                    <w:t>不少于10</w:t>
                  </w:r>
                  <w:r>
                    <w:rPr>
                      <w:rFonts w:ascii="宋体" w:eastAsia="宋体" w:hAnsi="宋体" w:cs="宋体" w:hint="eastAsia"/>
                      <w:color w:val="auto"/>
                      <w:sz w:val="21"/>
                      <w:szCs w:val="21"/>
                      <w:highlight w:val="none"/>
                      <w:lang w:val="en-US" w:eastAsia="zh-CN"/>
                    </w:rPr>
                    <w:t>人</w:t>
                  </w:r>
                </w:p>
              </w:tc>
            </w:tr>
          </w:tbl>
          <w:p>
            <w:pPr>
              <w:spacing w:line="360" w:lineRule="auto"/>
              <w:rPr>
                <w:rFonts w:eastAsia="宋体" w:hint="default"/>
                <w:b w:val="0"/>
                <w:bCs/>
                <w:color w:val="EE0000"/>
                <w:kern w:val="2"/>
                <w:sz w:val="18"/>
                <w:szCs w:val="18"/>
                <w:lang w:val="en-US" w:eastAsia="zh-CN"/>
              </w:rPr>
            </w:pPr>
          </w:p>
        </w:tc>
        <w:tc>
          <w:tcPr>
            <w:tcW w:w="892" w:type="dxa"/>
            <w:tcBorders>
              <w:top w:val="single" w:sz="4" w:space="0" w:color="auto"/>
              <w:left w:val="nil"/>
              <w:bottom w:val="single" w:sz="4" w:space="0" w:color="auto"/>
              <w:right w:val="single" w:sz="4" w:space="0" w:color="auto"/>
            </w:tcBorders>
          </w:tcPr>
          <w:p>
            <w:pPr>
              <w:widowControl w:val="0"/>
              <w:spacing w:line="400" w:lineRule="exact"/>
              <w:jc w:val="both"/>
              <w:rPr>
                <w:rFonts w:eastAsia="宋体"/>
                <w:kern w:val="2"/>
                <w:sz w:val="21"/>
                <w:szCs w:val="22"/>
                <w:lang w:eastAsia="zh-CN"/>
              </w:rPr>
            </w:pPr>
          </w:p>
        </w:tc>
        <w:tc>
          <w:tcPr>
            <w:tcW w:w="1159" w:type="dxa"/>
            <w:tcBorders>
              <w:top w:val="single" w:sz="4" w:space="0" w:color="auto"/>
              <w:left w:val="nil"/>
              <w:bottom w:val="single" w:sz="4" w:space="0" w:color="auto"/>
              <w:right w:val="single" w:sz="4" w:space="0" w:color="auto"/>
            </w:tcBorders>
          </w:tcPr>
          <w:p>
            <w:pPr>
              <w:widowControl w:val="0"/>
              <w:spacing w:line="400" w:lineRule="exact"/>
              <w:jc w:val="both"/>
              <w:rPr>
                <w:rFonts w:eastAsia="宋体"/>
                <w:kern w:val="2"/>
                <w:sz w:val="21"/>
                <w:szCs w:val="22"/>
                <w:lang w:eastAsia="zh-CN"/>
              </w:rPr>
            </w:pPr>
          </w:p>
        </w:tc>
      </w:tr>
      <w:tr>
        <w:tblPrEx>
          <w:tblW w:w="5000" w:type="pct"/>
          <w:tblInd w:w="0" w:type="dxa"/>
          <w:tblCellMar>
            <w:top w:w="0" w:type="dxa"/>
            <w:left w:w="108" w:type="dxa"/>
            <w:bottom w:w="0" w:type="dxa"/>
            <w:right w:w="108" w:type="dxa"/>
          </w:tblCellMar>
        </w:tblPrEx>
        <w:tc>
          <w:tcPr>
            <w:tcW w:w="640" w:type="dxa"/>
            <w:tcBorders>
              <w:top w:val="single" w:sz="4" w:space="0" w:color="auto"/>
              <w:left w:val="single" w:sz="4" w:space="0" w:color="auto"/>
              <w:bottom w:val="single" w:sz="4" w:space="0" w:color="auto"/>
              <w:right w:val="single" w:sz="4" w:space="0" w:color="auto"/>
            </w:tcBorders>
            <w:vAlign w:val="top"/>
          </w:tcPr>
          <w:p>
            <w:pPr>
              <w:adjustRightInd w:val="0"/>
              <w:snapToGrid w:val="0"/>
              <w:spacing w:line="360" w:lineRule="auto"/>
              <w:jc w:val="center"/>
              <w:rPr>
                <w:rFonts w:eastAsia="宋体"/>
                <w:kern w:val="2"/>
                <w:sz w:val="21"/>
                <w:szCs w:val="22"/>
                <w:lang w:eastAsia="zh-CN"/>
              </w:rPr>
            </w:pPr>
            <w:r>
              <w:rPr>
                <w:rFonts w:ascii="宋体" w:hAnsi="宋体" w:cs="宋体" w:hint="eastAsia"/>
                <w:b/>
                <w:color w:val="000000" w:themeColor="text1"/>
                <w:sz w:val="21"/>
                <w:szCs w:val="21"/>
                <w:lang w:val="en-US" w:eastAsia="zh-CN"/>
                <w14:textFill>
                  <w14:solidFill>
                    <w14:schemeClr w14:val="tx1"/>
                  </w14:solidFill>
                </w14:textFill>
              </w:rPr>
              <w:t>3.34</w:t>
            </w:r>
          </w:p>
        </w:tc>
        <w:tc>
          <w:tcPr>
            <w:tcW w:w="5831" w:type="dxa"/>
            <w:tcBorders>
              <w:top w:val="single" w:sz="4" w:space="0" w:color="auto"/>
              <w:left w:val="nil"/>
              <w:bottom w:val="single" w:sz="4" w:space="0" w:color="auto"/>
              <w:right w:val="single" w:sz="4" w:space="0" w:color="auto"/>
            </w:tcBorders>
            <w:vAlign w:val="top"/>
          </w:tcPr>
          <w:p>
            <w:pPr>
              <w:topLinePunct/>
              <w:adjustRightInd w:val="0"/>
              <w:ind w:firstLine="210" w:firstLineChars="100"/>
              <w:rPr>
                <w:rFonts w:ascii="宋体" w:hAnsi="宋体" w:cs="宋体"/>
                <w:b/>
                <w:bCs/>
                <w:color w:val="auto"/>
                <w:szCs w:val="21"/>
                <w:highlight w:val="none"/>
              </w:rPr>
            </w:pPr>
            <w:r>
              <w:rPr>
                <w:rFonts w:ascii="宋体" w:hAnsi="宋体" w:cs="宋体" w:hint="eastAsia"/>
                <w:color w:val="auto"/>
                <w:spacing w:val="-3"/>
                <w:szCs w:val="21"/>
                <w:highlight w:val="none"/>
              </w:rPr>
              <w:t>★</w:t>
            </w:r>
            <w:r>
              <w:rPr>
                <w:rFonts w:ascii="宋体" w:hAnsi="宋体" w:cs="宋体" w:hint="eastAsia"/>
                <w:b/>
                <w:bCs/>
                <w:color w:val="auto"/>
                <w:szCs w:val="21"/>
                <w:highlight w:val="none"/>
                <w:lang w:val="en-US" w:eastAsia="zh-CN"/>
              </w:rPr>
              <w:t>检测</w:t>
            </w:r>
            <w:r>
              <w:rPr>
                <w:rFonts w:ascii="宋体" w:hAnsi="宋体" w:cs="宋体"/>
                <w:b/>
                <w:bCs/>
                <w:color w:val="auto"/>
                <w:szCs w:val="21"/>
                <w:highlight w:val="none"/>
              </w:rPr>
              <w:t>设备最低配置表</w:t>
            </w:r>
          </w:p>
          <w:tbl>
            <w:tblPr>
              <w:tblStyle w:val="TableNormal"/>
              <w:tblW w:w="0" w:type="auto"/>
              <w:tblInd w:w="114" w:type="dxa"/>
              <w:tblCellMar>
                <w:top w:w="0" w:type="dxa"/>
                <w:left w:w="108" w:type="dxa"/>
                <w:bottom w:w="0" w:type="dxa"/>
                <w:right w:w="108" w:type="dxa"/>
              </w:tblCellMar>
            </w:tblPr>
            <w:tblGrid>
              <w:gridCol w:w="486"/>
              <w:gridCol w:w="1365"/>
              <w:gridCol w:w="486"/>
              <w:gridCol w:w="486"/>
              <w:gridCol w:w="2668"/>
            </w:tblGrid>
            <w:tr>
              <w:tblPrEx>
                <w:tblW w:w="0" w:type="auto"/>
                <w:tblInd w:w="114" w:type="dxa"/>
                <w:tblCellMar>
                  <w:top w:w="0" w:type="dxa"/>
                  <w:left w:w="108" w:type="dxa"/>
                  <w:bottom w:w="0" w:type="dxa"/>
                  <w:right w:w="108" w:type="dxa"/>
                </w:tblCellMar>
              </w:tblPrEx>
              <w:trPr>
                <w:trHeight w:val="369"/>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序号</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名称</w:t>
                  </w:r>
                </w:p>
              </w:tc>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tcPr>
                <w:p>
                  <w:pPr>
                    <w:widowControl/>
                    <w:jc w:val="center"/>
                    <w:textAlignment w:val="center"/>
                    <w:rPr>
                      <w:rFonts w:ascii="宋体" w:hAnsi="宋体" w:cs="宋体"/>
                      <w:b/>
                      <w:bCs/>
                      <w:color w:val="auto"/>
                      <w:szCs w:val="21"/>
                      <w:highlight w:val="none"/>
                    </w:rPr>
                  </w:pPr>
                  <w:r>
                    <w:rPr>
                      <w:rFonts w:ascii="宋体" w:hAnsi="宋体" w:cs="宋体" w:hint="eastAsia"/>
                      <w:b/>
                      <w:bCs/>
                      <w:color w:val="auto"/>
                      <w:kern w:val="0"/>
                      <w:szCs w:val="21"/>
                      <w:highlight w:val="none"/>
                    </w:rPr>
                    <w:t>单位</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widowControl/>
                    <w:jc w:val="center"/>
                    <w:textAlignment w:val="top"/>
                    <w:rPr>
                      <w:rFonts w:ascii="宋体" w:hAnsi="宋体" w:cs="宋体"/>
                      <w:b/>
                      <w:bCs/>
                      <w:color w:val="auto"/>
                      <w:szCs w:val="21"/>
                      <w:highlight w:val="none"/>
                    </w:rPr>
                  </w:pPr>
                  <w:r>
                    <w:rPr>
                      <w:rFonts w:ascii="宋体" w:hAnsi="宋体" w:cs="宋体" w:hint="eastAsia"/>
                      <w:b/>
                      <w:bCs/>
                      <w:color w:val="auto"/>
                      <w:kern w:val="0"/>
                      <w:szCs w:val="21"/>
                      <w:highlight w:val="none"/>
                    </w:rPr>
                    <w:t>数量</w:t>
                  </w:r>
                </w:p>
              </w:tc>
              <w:tc>
                <w:tcPr>
                  <w:tcW w:w="0" w:type="auto"/>
                  <w:tcBorders>
                    <w:top w:val="single" w:sz="8" w:space="0" w:color="000000"/>
                    <w:left w:val="single" w:sz="8" w:space="0" w:color="000000"/>
                    <w:bottom w:val="single" w:sz="8" w:space="0" w:color="000000"/>
                    <w:right w:val="single" w:sz="8" w:space="0" w:color="000000"/>
                  </w:tcBorders>
                  <w:shd w:val="clear" w:color="auto" w:fill="auto"/>
                </w:tcPr>
                <w:p>
                  <w:pPr>
                    <w:widowControl/>
                    <w:jc w:val="center"/>
                    <w:textAlignment w:val="top"/>
                    <w:rPr>
                      <w:rFonts w:ascii="宋体" w:hAnsi="宋体" w:cs="宋体"/>
                      <w:b/>
                      <w:bCs/>
                      <w:color w:val="auto"/>
                      <w:kern w:val="0"/>
                      <w:szCs w:val="21"/>
                      <w:highlight w:val="none"/>
                    </w:rPr>
                  </w:pPr>
                  <w:r>
                    <w:rPr>
                      <w:rFonts w:ascii="宋体" w:hAnsi="宋体" w:cs="宋体" w:hint="eastAsia"/>
                      <w:b/>
                      <w:bCs/>
                      <w:color w:val="auto"/>
                      <w:kern w:val="0"/>
                      <w:szCs w:val="21"/>
                      <w:highlight w:val="none"/>
                    </w:rPr>
                    <w:t>备注</w:t>
                  </w:r>
                </w:p>
              </w:tc>
            </w:tr>
            <w:tr>
              <w:tblPrEx>
                <w:tblW w:w="0" w:type="auto"/>
                <w:tblInd w:w="114" w:type="dxa"/>
                <w:tblCellMar>
                  <w:top w:w="0" w:type="dxa"/>
                  <w:left w:w="108" w:type="dxa"/>
                  <w:bottom w:w="0" w:type="dxa"/>
                  <w:right w:w="108" w:type="dxa"/>
                </w:tblCellMar>
              </w:tblPrEx>
              <w:trPr>
                <w:trHeight w:val="648"/>
              </w:trPr>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hAnsi="宋体" w:cs="宋体"/>
                      <w:color w:val="auto"/>
                      <w:szCs w:val="21"/>
                      <w:highlight w:val="none"/>
                    </w:rPr>
                  </w:pPr>
                  <w:r>
                    <w:rPr>
                      <w:rFonts w:ascii="宋体" w:hAnsi="宋体" w:cs="宋体"/>
                      <w:color w:val="auto"/>
                      <w:kern w:val="0"/>
                      <w:szCs w:val="21"/>
                      <w:highlight w:val="none"/>
                    </w:rPr>
                    <w:t>1</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hAnsi="宋体" w:cs="宋体" w:hint="eastAsia"/>
                      <w:color w:val="auto"/>
                      <w:kern w:val="0"/>
                      <w:szCs w:val="21"/>
                      <w:highlight w:val="none"/>
                      <w:lang w:val="en-US" w:eastAsia="zh-CN"/>
                    </w:rPr>
                    <w:t>采样器</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hAnsi="宋体" w:cs="宋体"/>
                      <w:color w:val="auto"/>
                      <w:szCs w:val="21"/>
                      <w:highlight w:val="none"/>
                    </w:rPr>
                  </w:pPr>
                  <w:r>
                    <w:rPr>
                      <w:rFonts w:ascii="宋体" w:hAnsi="宋体" w:cs="宋体" w:hint="eastAsia"/>
                      <w:color w:val="auto"/>
                      <w:kern w:val="0"/>
                      <w:szCs w:val="21"/>
                      <w:highlight w:val="none"/>
                    </w:rPr>
                    <w:t>台</w:t>
                  </w:r>
                </w:p>
              </w:tc>
              <w:tc>
                <w:tcPr>
                  <w:tcW w:w="0" w:type="auto"/>
                  <w:tcBorders>
                    <w:top w:val="nil"/>
                    <w:left w:val="single" w:sz="8" w:space="0" w:color="000000"/>
                    <w:bottom w:val="single" w:sz="8" w:space="0" w:color="000000"/>
                    <w:right w:val="single" w:sz="8" w:space="0" w:color="000000"/>
                  </w:tcBorders>
                </w:tcPr>
                <w:p>
                  <w:pPr>
                    <w:widowControl/>
                    <w:jc w:val="center"/>
                    <w:textAlignment w:val="top"/>
                    <w:rPr>
                      <w:rFonts w:ascii="宋体" w:eastAsia="宋体" w:hAnsi="宋体" w:cs="宋体" w:hint="default"/>
                      <w:color w:val="auto"/>
                      <w:szCs w:val="21"/>
                      <w:highlight w:val="none"/>
                      <w:lang w:val="en-US" w:eastAsia="zh-CN"/>
                    </w:rPr>
                  </w:pPr>
                  <w:r>
                    <w:rPr>
                      <w:rFonts w:ascii="宋体" w:hAnsi="宋体" w:cs="宋体" w:hint="eastAsia"/>
                      <w:color w:val="auto"/>
                      <w:szCs w:val="21"/>
                      <w:highlight w:val="none"/>
                      <w:lang w:val="en-US" w:eastAsia="zh-CN"/>
                    </w:rPr>
                    <w:t>20</w:t>
                  </w:r>
                </w:p>
              </w:tc>
              <w:tc>
                <w:tcPr>
                  <w:tcW w:w="0" w:type="auto"/>
                  <w:vMerge w:val="restart"/>
                  <w:tcBorders>
                    <w:top w:val="nil"/>
                    <w:left w:val="single" w:sz="8" w:space="0" w:color="000000"/>
                    <w:right w:val="single" w:sz="8" w:space="0" w:color="000000"/>
                  </w:tcBorders>
                  <w:vAlign w:val="center"/>
                </w:tcPr>
                <w:p>
                  <w:pPr>
                    <w:widowControl/>
                    <w:jc w:val="left"/>
                    <w:textAlignment w:val="top"/>
                    <w:rPr>
                      <w:rFonts w:ascii="宋体" w:hAnsi="宋体" w:cs="宋体"/>
                      <w:color w:val="auto"/>
                      <w:kern w:val="0"/>
                      <w:szCs w:val="21"/>
                      <w:highlight w:val="none"/>
                    </w:rPr>
                  </w:pPr>
                  <w:r>
                    <w:rPr>
                      <w:rFonts w:ascii="宋体" w:hAnsi="宋体" w:cs="宋体"/>
                      <w:color w:val="auto"/>
                      <w:kern w:val="0"/>
                      <w:szCs w:val="21"/>
                      <w:highlight w:val="none"/>
                    </w:rPr>
                    <w:t>1、上述设备配置数量为最低要求；</w:t>
                  </w:r>
                </w:p>
                <w:p>
                  <w:pPr>
                    <w:widowControl/>
                    <w:jc w:val="left"/>
                    <w:textAlignment w:val="top"/>
                    <w:rPr>
                      <w:rFonts w:ascii="宋体" w:hAnsi="宋体" w:cs="宋体"/>
                      <w:color w:val="auto"/>
                      <w:kern w:val="0"/>
                      <w:szCs w:val="21"/>
                      <w:highlight w:val="none"/>
                    </w:rPr>
                  </w:pPr>
                  <w:r>
                    <w:rPr>
                      <w:rFonts w:ascii="宋体" w:hAnsi="宋体" w:cs="宋体"/>
                      <w:color w:val="auto"/>
                      <w:kern w:val="0"/>
                      <w:szCs w:val="21"/>
                      <w:highlight w:val="none"/>
                    </w:rPr>
                    <w:t>2、供应商应根据实际工作需求及时增</w:t>
                  </w:r>
                  <w:r>
                    <w:rPr>
                      <w:rFonts w:ascii="宋体" w:hAnsi="宋体" w:cs="宋体" w:hint="eastAsia"/>
                      <w:color w:val="auto"/>
                      <w:kern w:val="0"/>
                      <w:szCs w:val="21"/>
                      <w:highlight w:val="none"/>
                    </w:rPr>
                    <w:t>加配足设备；</w:t>
                  </w:r>
                </w:p>
                <w:p>
                  <w:pPr>
                    <w:widowControl/>
                    <w:jc w:val="left"/>
                    <w:textAlignment w:val="top"/>
                    <w:rPr>
                      <w:rFonts w:ascii="宋体" w:hAnsi="宋体" w:cs="宋体"/>
                      <w:color w:val="auto"/>
                      <w:kern w:val="0"/>
                      <w:szCs w:val="21"/>
                      <w:highlight w:val="none"/>
                    </w:rPr>
                  </w:pPr>
                  <w:r>
                    <w:rPr>
                      <w:rFonts w:ascii="宋体" w:hAnsi="宋体" w:cs="宋体"/>
                      <w:color w:val="auto"/>
                      <w:kern w:val="0"/>
                      <w:szCs w:val="21"/>
                      <w:highlight w:val="none"/>
                    </w:rPr>
                    <w:t>3、所有设备使用过程中所涉及的维护保养费（维护、维修等）等由中标单位承担。</w:t>
                  </w:r>
                </w:p>
                <w:p>
                  <w:pPr>
                    <w:pStyle w:val="NormalIndent"/>
                    <w:rPr>
                      <w:rFonts w:ascii="宋体" w:eastAsia="宋体" w:hAnsi="宋体" w:cs="宋体" w:hint="eastAsia"/>
                      <w:color w:val="auto"/>
                      <w:highlight w:val="none"/>
                      <w:lang w:val="en-US" w:eastAsia="zh-CN"/>
                    </w:rPr>
                  </w:pPr>
                </w:p>
              </w:tc>
            </w:tr>
            <w:tr>
              <w:tblPrEx>
                <w:tblW w:w="0" w:type="auto"/>
                <w:tblInd w:w="114" w:type="dxa"/>
                <w:tblCellMar>
                  <w:top w:w="0" w:type="dxa"/>
                  <w:left w:w="108" w:type="dxa"/>
                  <w:bottom w:w="0" w:type="dxa"/>
                  <w:right w:w="108" w:type="dxa"/>
                </w:tblCellMar>
              </w:tblPrEx>
              <w:trPr>
                <w:trHeight w:val="369"/>
              </w:trPr>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hAnsi="宋体" w:cs="宋体"/>
                      <w:color w:val="auto"/>
                      <w:szCs w:val="21"/>
                      <w:highlight w:val="none"/>
                    </w:rPr>
                  </w:pPr>
                  <w:r>
                    <w:rPr>
                      <w:rFonts w:ascii="宋体" w:hAnsi="宋体" w:cs="宋体"/>
                      <w:color w:val="auto"/>
                      <w:kern w:val="0"/>
                      <w:szCs w:val="21"/>
                      <w:highlight w:val="none"/>
                    </w:rPr>
                    <w:t>2</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eastAsia="宋体" w:hAnsi="宋体" w:cs="宋体"/>
                      <w:sz w:val="24"/>
                      <w:szCs w:val="24"/>
                    </w:rPr>
                    <w:t>热脱附仪 + 气相色谱质谱联用仪</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台套</w:t>
                  </w:r>
                </w:p>
              </w:tc>
              <w:tc>
                <w:tcPr>
                  <w:tcW w:w="0" w:type="auto"/>
                  <w:tcBorders>
                    <w:top w:val="nil"/>
                    <w:left w:val="single" w:sz="8" w:space="0" w:color="000000"/>
                    <w:bottom w:val="single" w:sz="8" w:space="0" w:color="000000"/>
                    <w:right w:val="single" w:sz="8" w:space="0" w:color="000000"/>
                  </w:tcBorders>
                </w:tcPr>
                <w:p>
                  <w:pPr>
                    <w:widowControl/>
                    <w:jc w:val="center"/>
                    <w:textAlignment w:val="top"/>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2</w:t>
                  </w:r>
                </w:p>
              </w:tc>
              <w:tc>
                <w:tcPr>
                  <w:tcW w:w="0" w:type="auto"/>
                  <w:vMerge/>
                  <w:tcBorders>
                    <w:left w:val="single" w:sz="8" w:space="0" w:color="000000"/>
                    <w:right w:val="single" w:sz="8" w:space="0" w:color="000000"/>
                  </w:tcBorders>
                </w:tcPr>
                <w:p>
                  <w:pPr>
                    <w:widowControl/>
                    <w:jc w:val="center"/>
                    <w:textAlignment w:val="top"/>
                    <w:rPr>
                      <w:rFonts w:ascii="宋体" w:hAnsi="宋体" w:cs="宋体"/>
                      <w:color w:val="auto"/>
                      <w:kern w:val="0"/>
                      <w:szCs w:val="21"/>
                      <w:highlight w:val="none"/>
                    </w:rPr>
                  </w:pPr>
                </w:p>
              </w:tc>
            </w:tr>
            <w:tr>
              <w:tblPrEx>
                <w:tblW w:w="0" w:type="auto"/>
                <w:tblInd w:w="114" w:type="dxa"/>
                <w:tblCellMar>
                  <w:top w:w="0" w:type="dxa"/>
                  <w:left w:w="108" w:type="dxa"/>
                  <w:bottom w:w="0" w:type="dxa"/>
                  <w:right w:w="108" w:type="dxa"/>
                </w:tblCellMar>
              </w:tblPrEx>
              <w:trPr>
                <w:trHeight w:val="369"/>
              </w:trPr>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hAnsi="宋体" w:cs="宋体" w:hint="eastAsia"/>
                      <w:color w:val="auto"/>
                      <w:szCs w:val="21"/>
                      <w:highlight w:val="none"/>
                    </w:rPr>
                  </w:pPr>
                  <w:r>
                    <w:rPr>
                      <w:rFonts w:ascii="宋体" w:hAnsi="宋体" w:cs="宋体" w:hint="eastAsia"/>
                      <w:color w:val="auto"/>
                      <w:kern w:val="0"/>
                      <w:szCs w:val="21"/>
                      <w:highlight w:val="none"/>
                      <w:lang w:eastAsia="zh-CN"/>
                    </w:rPr>
                    <w:t>3</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hAnsi="宋体" w:cs="宋体" w:hint="default"/>
                      <w:color w:val="auto"/>
                      <w:szCs w:val="21"/>
                      <w:highlight w:val="none"/>
                      <w:lang w:val="en-US"/>
                    </w:rPr>
                  </w:pPr>
                  <w:r>
                    <w:rPr>
                      <w:rFonts w:ascii="宋体" w:eastAsia="宋体" w:hAnsi="宋体" w:cs="宋体"/>
                      <w:sz w:val="24"/>
                      <w:szCs w:val="24"/>
                    </w:rPr>
                    <w:t>热脱附仪联用气相色谱仪</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eastAsia="宋体" w:hAnsi="宋体" w:cs="宋体" w:hint="eastAsia"/>
                      <w:color w:val="auto"/>
                      <w:szCs w:val="21"/>
                      <w:highlight w:val="none"/>
                      <w:lang w:val="en-US" w:eastAsia="zh-CN"/>
                    </w:rPr>
                  </w:pPr>
                  <w:r>
                    <w:rPr>
                      <w:rFonts w:ascii="宋体" w:hAnsi="宋体" w:cs="宋体" w:hint="eastAsia"/>
                      <w:color w:val="auto"/>
                      <w:kern w:val="0"/>
                      <w:szCs w:val="21"/>
                      <w:highlight w:val="none"/>
                    </w:rPr>
                    <w:t>台</w:t>
                  </w:r>
                  <w:r>
                    <w:rPr>
                      <w:rFonts w:ascii="宋体" w:hAnsi="宋体" w:cs="宋体" w:hint="eastAsia"/>
                      <w:color w:val="auto"/>
                      <w:kern w:val="0"/>
                      <w:szCs w:val="21"/>
                      <w:highlight w:val="none"/>
                      <w:lang w:val="en-US" w:eastAsia="zh-CN"/>
                    </w:rPr>
                    <w:t>套</w:t>
                  </w:r>
                </w:p>
              </w:tc>
              <w:tc>
                <w:tcPr>
                  <w:tcW w:w="0" w:type="auto"/>
                  <w:tcBorders>
                    <w:top w:val="nil"/>
                    <w:left w:val="single" w:sz="8" w:space="0" w:color="000000"/>
                    <w:bottom w:val="single" w:sz="8" w:space="0" w:color="000000"/>
                    <w:right w:val="single" w:sz="8" w:space="0" w:color="000000"/>
                  </w:tcBorders>
                </w:tcPr>
                <w:p>
                  <w:pPr>
                    <w:widowControl/>
                    <w:jc w:val="center"/>
                    <w:textAlignment w:val="top"/>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2</w:t>
                  </w:r>
                </w:p>
              </w:tc>
              <w:tc>
                <w:tcPr>
                  <w:tcW w:w="0" w:type="auto"/>
                  <w:vMerge/>
                  <w:tcBorders>
                    <w:left w:val="single" w:sz="8" w:space="0" w:color="000000"/>
                    <w:right w:val="single" w:sz="8" w:space="0" w:color="000000"/>
                  </w:tcBorders>
                </w:tcPr>
                <w:p>
                  <w:pPr>
                    <w:widowControl/>
                    <w:jc w:val="center"/>
                    <w:textAlignment w:val="top"/>
                    <w:rPr>
                      <w:rFonts w:ascii="宋体" w:hAnsi="宋体" w:cs="宋体"/>
                      <w:color w:val="auto"/>
                      <w:kern w:val="0"/>
                      <w:szCs w:val="21"/>
                      <w:highlight w:val="none"/>
                    </w:rPr>
                  </w:pPr>
                </w:p>
              </w:tc>
            </w:tr>
            <w:tr>
              <w:tblPrEx>
                <w:tblW w:w="0" w:type="auto"/>
                <w:tblInd w:w="114" w:type="dxa"/>
                <w:tblCellMar>
                  <w:top w:w="0" w:type="dxa"/>
                  <w:left w:w="108" w:type="dxa"/>
                  <w:bottom w:w="0" w:type="dxa"/>
                  <w:right w:w="108" w:type="dxa"/>
                </w:tblCellMar>
              </w:tblPrEx>
              <w:trPr>
                <w:trHeight w:val="369"/>
              </w:trPr>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eastAsia="宋体" w:hAnsi="宋体" w:cs="宋体" w:hint="eastAsia"/>
                      <w:color w:val="auto"/>
                      <w:szCs w:val="21"/>
                      <w:highlight w:val="none"/>
                      <w:lang w:eastAsia="zh-CN"/>
                    </w:rPr>
                  </w:pPr>
                  <w:r>
                    <w:rPr>
                      <w:rFonts w:ascii="宋体" w:hAnsi="宋体" w:cs="宋体" w:hint="eastAsia"/>
                      <w:color w:val="auto"/>
                      <w:kern w:val="0"/>
                      <w:szCs w:val="21"/>
                      <w:highlight w:val="none"/>
                      <w:lang w:val="en-US" w:eastAsia="zh-CN"/>
                    </w:rPr>
                    <w:t>4</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eastAsia="宋体" w:hAnsi="宋体" w:cs="宋体" w:hint="default"/>
                      <w:color w:val="auto"/>
                      <w:szCs w:val="21"/>
                      <w:highlight w:val="none"/>
                      <w:lang w:val="en-US" w:eastAsia="zh-CN"/>
                    </w:rPr>
                  </w:pPr>
                  <w:r>
                    <w:rPr>
                      <w:rFonts w:ascii="宋体" w:hAnsi="宋体" w:cs="宋体" w:hint="eastAsia"/>
                      <w:color w:val="auto"/>
                      <w:kern w:val="0"/>
                      <w:szCs w:val="21"/>
                      <w:highlight w:val="none"/>
                      <w:lang w:val="en-US" w:eastAsia="zh-CN"/>
                    </w:rPr>
                    <w:t>分光光度计</w:t>
                  </w:r>
                </w:p>
              </w:tc>
              <w:tc>
                <w:tcPr>
                  <w:tcW w:w="0" w:type="auto"/>
                  <w:tcBorders>
                    <w:top w:val="nil"/>
                    <w:left w:val="single" w:sz="8" w:space="0" w:color="000000"/>
                    <w:bottom w:val="single" w:sz="8" w:space="0" w:color="000000"/>
                    <w:right w:val="single" w:sz="8" w:space="0" w:color="000000"/>
                  </w:tcBorders>
                  <w:vAlign w:val="center"/>
                </w:tcPr>
                <w:p>
                  <w:pPr>
                    <w:widowControl/>
                    <w:jc w:val="center"/>
                    <w:textAlignment w:val="center"/>
                    <w:rPr>
                      <w:rFonts w:ascii="宋体" w:hAnsi="宋体" w:cs="宋体"/>
                      <w:color w:val="auto"/>
                      <w:szCs w:val="21"/>
                      <w:highlight w:val="none"/>
                    </w:rPr>
                  </w:pPr>
                  <w:r>
                    <w:rPr>
                      <w:rFonts w:ascii="宋体" w:hAnsi="宋体" w:cs="宋体" w:hint="eastAsia"/>
                      <w:color w:val="auto"/>
                      <w:kern w:val="0"/>
                      <w:szCs w:val="21"/>
                      <w:highlight w:val="none"/>
                      <w:lang w:val="en-US" w:eastAsia="zh-CN"/>
                    </w:rPr>
                    <w:t>台套</w:t>
                  </w:r>
                </w:p>
              </w:tc>
              <w:tc>
                <w:tcPr>
                  <w:tcW w:w="0" w:type="auto"/>
                  <w:tcBorders>
                    <w:top w:val="nil"/>
                    <w:left w:val="single" w:sz="8" w:space="0" w:color="000000"/>
                    <w:bottom w:val="single" w:sz="8" w:space="0" w:color="000000"/>
                    <w:right w:val="single" w:sz="8" w:space="0" w:color="000000"/>
                  </w:tcBorders>
                </w:tcPr>
                <w:p>
                  <w:pPr>
                    <w:widowControl/>
                    <w:jc w:val="center"/>
                    <w:textAlignment w:val="top"/>
                    <w:rPr>
                      <w:rFonts w:ascii="宋体" w:hAnsi="宋体" w:cs="宋体"/>
                      <w:color w:val="auto"/>
                      <w:szCs w:val="21"/>
                      <w:highlight w:val="none"/>
                    </w:rPr>
                  </w:pPr>
                  <w:r>
                    <w:rPr>
                      <w:rFonts w:ascii="宋体" w:hAnsi="宋体" w:cs="宋体" w:hint="eastAsia"/>
                      <w:color w:val="auto"/>
                      <w:kern w:val="0"/>
                      <w:szCs w:val="21"/>
                      <w:highlight w:val="none"/>
                      <w:lang w:val="en-US" w:eastAsia="zh-CN"/>
                    </w:rPr>
                    <w:t>2</w:t>
                  </w:r>
                </w:p>
              </w:tc>
              <w:tc>
                <w:tcPr>
                  <w:tcW w:w="0" w:type="auto"/>
                  <w:vMerge/>
                  <w:tcBorders>
                    <w:left w:val="single" w:sz="8" w:space="0" w:color="000000"/>
                    <w:right w:val="single" w:sz="8" w:space="0" w:color="000000"/>
                  </w:tcBorders>
                </w:tcPr>
                <w:p>
                  <w:pPr>
                    <w:widowControl/>
                    <w:jc w:val="center"/>
                    <w:textAlignment w:val="top"/>
                    <w:rPr>
                      <w:rFonts w:ascii="宋体" w:hAnsi="宋体" w:cs="宋体"/>
                      <w:color w:val="auto"/>
                      <w:kern w:val="0"/>
                      <w:szCs w:val="21"/>
                      <w:highlight w:val="none"/>
                    </w:rPr>
                  </w:pPr>
                </w:p>
              </w:tc>
            </w:tr>
          </w:tbl>
          <w:p>
            <w:pPr>
              <w:spacing w:line="360" w:lineRule="auto"/>
              <w:rPr>
                <w:rFonts w:eastAsia="宋体" w:hint="default"/>
                <w:bCs/>
                <w:color w:val="EE0000"/>
                <w:kern w:val="2"/>
                <w:sz w:val="18"/>
                <w:szCs w:val="18"/>
                <w:lang w:val="en-US" w:eastAsia="zh-CN"/>
              </w:rPr>
            </w:pPr>
          </w:p>
        </w:tc>
        <w:tc>
          <w:tcPr>
            <w:tcW w:w="892" w:type="dxa"/>
            <w:tcBorders>
              <w:top w:val="single" w:sz="4" w:space="0" w:color="auto"/>
              <w:left w:val="nil"/>
              <w:bottom w:val="single" w:sz="4" w:space="0" w:color="auto"/>
              <w:right w:val="single" w:sz="4" w:space="0" w:color="auto"/>
            </w:tcBorders>
          </w:tcPr>
          <w:p>
            <w:pPr>
              <w:widowControl w:val="0"/>
              <w:spacing w:line="400" w:lineRule="exact"/>
              <w:jc w:val="both"/>
              <w:rPr>
                <w:rFonts w:eastAsia="宋体"/>
                <w:kern w:val="2"/>
                <w:sz w:val="21"/>
                <w:szCs w:val="22"/>
                <w:lang w:eastAsia="zh-CN"/>
              </w:rPr>
            </w:pPr>
          </w:p>
        </w:tc>
        <w:tc>
          <w:tcPr>
            <w:tcW w:w="1159" w:type="dxa"/>
            <w:tcBorders>
              <w:top w:val="single" w:sz="4" w:space="0" w:color="auto"/>
              <w:left w:val="nil"/>
              <w:bottom w:val="single" w:sz="4" w:space="0" w:color="auto"/>
              <w:right w:val="single" w:sz="4" w:space="0" w:color="auto"/>
            </w:tcBorders>
          </w:tcPr>
          <w:p>
            <w:pPr>
              <w:widowControl w:val="0"/>
              <w:spacing w:line="400" w:lineRule="exact"/>
              <w:jc w:val="both"/>
              <w:rPr>
                <w:rFonts w:eastAsia="宋体"/>
                <w:kern w:val="2"/>
                <w:sz w:val="21"/>
                <w:szCs w:val="22"/>
                <w:lang w:eastAsia="zh-CN"/>
              </w:rPr>
            </w:pPr>
          </w:p>
        </w:tc>
      </w:tr>
    </w:tbl>
    <w:p>
      <w:pPr>
        <w:widowControl w:val="0"/>
        <w:spacing w:line="440" w:lineRule="exact"/>
        <w:ind w:firstLine="392"/>
        <w:jc w:val="both"/>
        <w:rPr>
          <w:rFonts w:ascii="宋体" w:eastAsia="宋体" w:hAnsi="宋体"/>
          <w:spacing w:val="-7"/>
          <w:kern w:val="2"/>
          <w:sz w:val="21"/>
          <w:szCs w:val="22"/>
          <w:lang w:eastAsia="zh-CN"/>
        </w:rPr>
      </w:pPr>
      <w:r>
        <w:rPr>
          <w:rFonts w:ascii="宋体" w:eastAsia="宋体" w:hAnsi="宋体" w:cstheme="minorBidi"/>
          <w:spacing w:val="-7"/>
          <w:kern w:val="2"/>
          <w:sz w:val="21"/>
          <w:szCs w:val="22"/>
          <w:lang w:eastAsia="zh-CN"/>
        </w:rPr>
        <w:t>注：</w:t>
      </w:r>
      <w:r>
        <w:rPr>
          <w:rFonts w:eastAsia="宋体" w:cstheme="minorBidi"/>
          <w:spacing w:val="-7"/>
          <w:kern w:val="2"/>
          <w:sz w:val="21"/>
          <w:szCs w:val="22"/>
          <w:lang w:eastAsia="zh-CN"/>
        </w:rPr>
        <w:t>1</w:t>
      </w:r>
      <w:r>
        <w:rPr>
          <w:rFonts w:ascii="宋体" w:eastAsia="宋体" w:hAnsi="宋体" w:cstheme="minorBidi"/>
          <w:spacing w:val="-7"/>
          <w:kern w:val="2"/>
          <w:sz w:val="21"/>
          <w:szCs w:val="22"/>
          <w:lang w:eastAsia="zh-CN"/>
        </w:rPr>
        <w:t>、</w:t>
      </w:r>
      <w:r>
        <w:rPr>
          <w:rFonts w:ascii="宋体" w:eastAsia="宋体" w:hAnsi="宋体" w:cstheme="minorBidi"/>
          <w:color w:val="FF0000"/>
          <w:kern w:val="2"/>
          <w:sz w:val="21"/>
          <w:szCs w:val="22"/>
          <w:lang w:eastAsia="zh-CN"/>
        </w:rPr>
        <w:t>标注</w:t>
      </w:r>
      <w:r>
        <w:rPr>
          <w:rFonts w:eastAsia="宋体" w:cstheme="minorBidi"/>
          <w:color w:val="FF0000"/>
          <w:kern w:val="2"/>
          <w:sz w:val="21"/>
          <w:szCs w:val="22"/>
          <w:lang w:eastAsia="zh-CN"/>
        </w:rPr>
        <w:t>“</w:t>
      </w:r>
      <w:r>
        <w:rPr>
          <w:rFonts w:ascii="Segoe UI Symbol" w:eastAsia="宋体" w:hAnsi="Segoe UI Symbol" w:cstheme="minorBidi"/>
          <w:color w:val="FF0000"/>
          <w:kern w:val="2"/>
          <w:sz w:val="21"/>
          <w:szCs w:val="22"/>
          <w:lang w:eastAsia="zh-CN"/>
        </w:rPr>
        <w:t>★</w:t>
      </w:r>
      <w:r>
        <w:rPr>
          <w:rFonts w:eastAsia="宋体" w:cstheme="minorBidi"/>
          <w:color w:val="FF0000"/>
          <w:kern w:val="2"/>
          <w:sz w:val="21"/>
          <w:szCs w:val="22"/>
          <w:lang w:eastAsia="zh-CN"/>
        </w:rPr>
        <w:t>”</w:t>
      </w:r>
      <w:r>
        <w:rPr>
          <w:rFonts w:ascii="宋体" w:eastAsia="宋体" w:hAnsi="宋体" w:cstheme="minorBidi"/>
          <w:color w:val="FF0000"/>
          <w:kern w:val="2"/>
          <w:sz w:val="21"/>
          <w:szCs w:val="22"/>
          <w:lang w:eastAsia="zh-CN"/>
        </w:rPr>
        <w:t>符号的条款为实质性要求条款，投标文件应当对招标文件的实质性要求</w:t>
      </w:r>
      <w:r>
        <w:rPr>
          <w:rFonts w:ascii="宋体" w:eastAsia="宋体" w:hAnsi="宋体" w:cstheme="minorBidi"/>
          <w:color w:val="FF0000"/>
          <w:spacing w:val="-7"/>
          <w:kern w:val="2"/>
          <w:sz w:val="21"/>
          <w:szCs w:val="22"/>
          <w:lang w:eastAsia="zh-CN"/>
        </w:rPr>
        <w:t>和条件作出满足性或更有利于采购人的响应，否则，投标无效。</w:t>
      </w:r>
    </w:p>
    <w:p>
      <w:pPr>
        <w:widowControl w:val="0"/>
        <w:spacing w:line="440" w:lineRule="exact"/>
        <w:ind w:firstLine="392"/>
        <w:jc w:val="both"/>
        <w:rPr>
          <w:rFonts w:ascii="宋体" w:eastAsia="宋体" w:hAnsi="宋体"/>
          <w:spacing w:val="-7"/>
          <w:kern w:val="2"/>
          <w:sz w:val="21"/>
          <w:szCs w:val="22"/>
          <w:lang w:eastAsia="zh-CN"/>
        </w:rPr>
      </w:pPr>
      <w:r>
        <w:rPr>
          <w:rFonts w:ascii="宋体" w:eastAsia="宋体" w:hAnsi="宋体" w:cstheme="minorBidi"/>
          <w:spacing w:val="-7"/>
          <w:kern w:val="2"/>
          <w:sz w:val="21"/>
          <w:szCs w:val="22"/>
          <w:lang w:eastAsia="zh-CN"/>
        </w:rPr>
        <w:t>2</w:t>
      </w:r>
      <w:r>
        <w:rPr>
          <w:rFonts w:ascii="宋体" w:eastAsia="宋体" w:hAnsi="宋体" w:cstheme="minorBidi" w:hint="eastAsia"/>
          <w:spacing w:val="-7"/>
          <w:kern w:val="2"/>
          <w:sz w:val="21"/>
          <w:szCs w:val="22"/>
          <w:lang w:eastAsia="zh-CN"/>
        </w:rPr>
        <w:t xml:space="preserve">、“偏差说明”栏填写“正偏差”、“负偏差”、“无偏差”，填写“正偏差”及“负偏差”的，还应在该栏说明优于或低于招标要求的具体内容； </w:t>
      </w:r>
    </w:p>
    <w:p>
      <w:pPr>
        <w:widowControl w:val="0"/>
        <w:spacing w:line="440" w:lineRule="exact"/>
        <w:ind w:firstLine="392"/>
        <w:jc w:val="both"/>
        <w:rPr>
          <w:rFonts w:ascii="宋体" w:eastAsia="宋体" w:hAnsi="宋体"/>
          <w:spacing w:val="-7"/>
          <w:kern w:val="2"/>
          <w:sz w:val="21"/>
          <w:szCs w:val="22"/>
          <w:lang w:eastAsia="zh-CN"/>
        </w:rPr>
      </w:pPr>
      <w:r>
        <w:rPr>
          <w:rFonts w:ascii="宋体" w:eastAsia="宋体" w:hAnsi="宋体" w:cstheme="minorBidi" w:hint="eastAsia"/>
          <w:spacing w:val="-7"/>
          <w:kern w:val="2"/>
          <w:sz w:val="21"/>
          <w:szCs w:val="22"/>
          <w:lang w:eastAsia="zh-CN"/>
        </w:rPr>
        <w:t>3、“页码”栏填写偏离内容在投标文件详细描述中对应的页码。</w:t>
      </w:r>
    </w:p>
    <w:p>
      <w:pPr>
        <w:widowControl w:val="0"/>
        <w:spacing w:line="440" w:lineRule="exact"/>
        <w:ind w:firstLine="392"/>
        <w:jc w:val="both"/>
        <w:rPr>
          <w:rFonts w:ascii="宋体" w:eastAsia="宋体" w:hAnsi="宋体"/>
          <w:spacing w:val="-7"/>
          <w:kern w:val="2"/>
          <w:sz w:val="21"/>
          <w:szCs w:val="22"/>
          <w:lang w:eastAsia="zh-CN"/>
        </w:rPr>
      </w:pPr>
      <w:r>
        <w:rPr>
          <w:rFonts w:ascii="宋体" w:eastAsia="宋体" w:hAnsi="宋体" w:cstheme="minorBidi" w:hint="eastAsia"/>
          <w:spacing w:val="-7"/>
          <w:kern w:val="2"/>
          <w:sz w:val="21"/>
          <w:szCs w:val="22"/>
          <w:lang w:eastAsia="zh-CN"/>
        </w:rPr>
        <w:t>4、实质性响应条款“投标响应情况”与投标文件其它内容冲突的，以实质性响应条款“投标响应情况”为准。</w:t>
      </w:r>
    </w:p>
    <w:p>
      <w:pPr>
        <w:widowControl w:val="0"/>
        <w:ind w:left="142" w:right="-52"/>
        <w:jc w:val="both"/>
        <w:rPr>
          <w:rFonts w:ascii="宋体" w:eastAsia="宋体" w:hAnsi="宋体"/>
          <w:spacing w:val="-7"/>
          <w:kern w:val="2"/>
          <w:sz w:val="21"/>
          <w:szCs w:val="20"/>
          <w:lang w:eastAsia="zh-CN"/>
        </w:rPr>
      </w:pPr>
      <w:r>
        <w:rPr>
          <w:rFonts w:ascii="宋体" w:eastAsia="宋体" w:hAnsi="宋体" w:cstheme="minorBidi" w:hint="eastAsia"/>
          <w:spacing w:val="-7"/>
          <w:kern w:val="2"/>
          <w:sz w:val="21"/>
          <w:szCs w:val="20"/>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投标人名称：</w:t>
      </w:r>
      <w:r>
        <w:rPr>
          <w:rFonts w:ascii="Arial" w:eastAsia="宋体" w:hAnsi="Arial" w:cs="Arial"/>
          <w:snapToGrid w:val="0"/>
          <w:color w:val="000000"/>
          <w:sz w:val="21"/>
          <w:szCs w:val="21"/>
          <w:u w:val="single"/>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法定代表人或其委托代理人：</w:t>
      </w:r>
      <w:r>
        <w:rPr>
          <w:rFonts w:ascii="Arial" w:eastAsia="宋体" w:hAnsi="Arial" w:cs="Arial"/>
          <w:snapToGrid w:val="0"/>
          <w:color w:val="000000"/>
          <w:sz w:val="21"/>
          <w:szCs w:val="21"/>
          <w:u w:val="single"/>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日期：</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年</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月</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日</w:t>
      </w:r>
    </w:p>
    <w:p>
      <w:pPr>
        <w:rPr>
          <w:rFonts w:hint="eastAsia"/>
          <w:highlight w:val="yellow"/>
        </w:rPr>
      </w:pPr>
      <w:bookmarkStart w:id="375" w:name="_Toc180404902"/>
      <w:r>
        <w:rPr>
          <w:rFonts w:hint="eastAsia"/>
          <w:highlight w:val="yellow"/>
        </w:rPr>
        <w:br w:type="page"/>
      </w:r>
    </w:p>
    <w:p>
      <w:pPr>
        <w:rPr>
          <w:rFonts w:eastAsia="宋体" w:hint="eastAsia"/>
          <w:b/>
          <w:bCs/>
          <w:kern w:val="2"/>
          <w:lang w:eastAsia="zh-CN"/>
        </w:rPr>
      </w:pPr>
    </w:p>
    <w:p>
      <w:pPr>
        <w:keepNext/>
        <w:keepLines/>
        <w:widowControl w:val="0"/>
        <w:spacing w:before="280" w:after="290" w:line="376" w:lineRule="auto"/>
        <w:ind w:firstLine="420" w:firstLineChars="200"/>
        <w:jc w:val="center"/>
        <w:outlineLvl w:val="2"/>
        <w:rPr>
          <w:rFonts w:ascii="黑体" w:eastAsia="黑体" w:hAnsi="黑体" w:cs="黑体" w:hint="eastAsia"/>
          <w:b/>
          <w:bCs/>
          <w:kern w:val="2"/>
          <w:sz w:val="28"/>
          <w:szCs w:val="28"/>
          <w:lang w:eastAsia="zh-CN"/>
        </w:rPr>
      </w:pPr>
      <w:bookmarkStart w:id="376" w:name="_Toc22340"/>
      <w:bookmarkStart w:id="377" w:name="_Toc5516"/>
      <w:bookmarkStart w:id="378" w:name="_Toc256000071"/>
      <w:r>
        <w:rPr>
          <w:rFonts w:ascii="黑体" w:eastAsia="黑体" w:hAnsi="黑体" w:cs="黑体" w:hint="eastAsia"/>
          <w:b/>
          <w:bCs/>
          <w:kern w:val="2"/>
          <w:sz w:val="28"/>
          <w:szCs w:val="28"/>
          <w:lang w:eastAsia="zh-CN"/>
        </w:rPr>
        <w:t>（二）技术要求偏差表</w:t>
      </w:r>
      <w:bookmarkEnd w:id="378"/>
      <w:bookmarkEnd w:id="375"/>
      <w:bookmarkEnd w:id="376"/>
      <w:bookmarkEnd w:id="377"/>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2"/>
        <w:gridCol w:w="2856"/>
        <w:gridCol w:w="2852"/>
        <w:gridCol w:w="1137"/>
        <w:gridCol w:w="996"/>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kern w:val="2"/>
                <w:sz w:val="21"/>
                <w:szCs w:val="21"/>
                <w:lang w:eastAsia="zh-CN"/>
              </w:rPr>
            </w:pPr>
            <w:r>
              <w:rPr>
                <w:rFonts w:eastAsia="宋体"/>
                <w:b/>
                <w:bCs/>
                <w:color w:val="000000"/>
                <w:sz w:val="21"/>
                <w:szCs w:val="21"/>
                <w:lang w:eastAsia="zh-CN"/>
              </w:rPr>
              <w:t>序号</w:t>
            </w:r>
          </w:p>
        </w:tc>
        <w:tc>
          <w:tcPr>
            <w:tcW w:w="1676" w:type="pct"/>
            <w:vAlign w:val="center"/>
          </w:tcPr>
          <w:p>
            <w:pPr>
              <w:jc w:val="center"/>
              <w:textAlignment w:val="center"/>
              <w:rPr>
                <w:rFonts w:eastAsia="宋体"/>
                <w:b/>
                <w:bCs/>
                <w:color w:val="000000"/>
                <w:kern w:val="2"/>
                <w:sz w:val="21"/>
                <w:szCs w:val="21"/>
                <w:lang w:eastAsia="zh-CN"/>
              </w:rPr>
            </w:pPr>
            <w:r>
              <w:rPr>
                <w:rFonts w:eastAsia="宋体"/>
                <w:b/>
                <w:bCs/>
                <w:color w:val="000000"/>
                <w:sz w:val="21"/>
                <w:szCs w:val="21"/>
                <w:lang w:eastAsia="zh-CN"/>
              </w:rPr>
              <w:t>招标技术要求</w:t>
            </w:r>
          </w:p>
        </w:tc>
        <w:tc>
          <w:tcPr>
            <w:tcW w:w="1673" w:type="pct"/>
            <w:vAlign w:val="center"/>
          </w:tcPr>
          <w:p>
            <w:pPr>
              <w:jc w:val="center"/>
              <w:textAlignment w:val="center"/>
              <w:rPr>
                <w:rFonts w:eastAsia="宋体"/>
                <w:b/>
                <w:bCs/>
                <w:color w:val="000000"/>
                <w:sz w:val="21"/>
                <w:szCs w:val="21"/>
                <w:lang w:eastAsia="zh-CN"/>
              </w:rPr>
            </w:pPr>
            <w:r>
              <w:rPr>
                <w:rFonts w:ascii="Calibri" w:eastAsia="宋体" w:hAnsi="Calibri" w:cstheme="minorBidi" w:hint="eastAsia"/>
                <w:b/>
                <w:bCs/>
                <w:color w:val="000000"/>
                <w:kern w:val="2"/>
                <w:sz w:val="21"/>
                <w:szCs w:val="21"/>
                <w:lang w:eastAsia="zh-CN"/>
              </w:rPr>
              <w:t>投标文件响应情况</w:t>
            </w:r>
          </w:p>
        </w:tc>
        <w:tc>
          <w:tcPr>
            <w:tcW w:w="667" w:type="pct"/>
            <w:vAlign w:val="center"/>
          </w:tcPr>
          <w:p>
            <w:pPr>
              <w:jc w:val="center"/>
              <w:textAlignment w:val="center"/>
              <w:rPr>
                <w:rFonts w:eastAsia="宋体"/>
                <w:b/>
                <w:bCs/>
                <w:color w:val="000000"/>
                <w:sz w:val="21"/>
                <w:szCs w:val="21"/>
                <w:lang w:eastAsia="zh-CN"/>
              </w:rPr>
            </w:pPr>
            <w:r>
              <w:rPr>
                <w:rFonts w:ascii="Calibri" w:eastAsia="宋体" w:hAnsi="Calibri" w:cstheme="minorBidi" w:hint="eastAsia"/>
                <w:b/>
                <w:bCs/>
                <w:color w:val="000000"/>
                <w:kern w:val="2"/>
                <w:sz w:val="21"/>
                <w:szCs w:val="21"/>
                <w:lang w:eastAsia="zh-CN"/>
              </w:rPr>
              <w:t>偏差说明</w:t>
            </w:r>
          </w:p>
        </w:tc>
        <w:tc>
          <w:tcPr>
            <w:tcW w:w="584" w:type="pct"/>
            <w:vAlign w:val="center"/>
          </w:tcPr>
          <w:p>
            <w:pPr>
              <w:jc w:val="center"/>
              <w:textAlignment w:val="center"/>
              <w:rPr>
                <w:rFonts w:eastAsia="宋体"/>
                <w:b/>
                <w:bCs/>
                <w:color w:val="000000"/>
                <w:sz w:val="21"/>
                <w:szCs w:val="21"/>
                <w:lang w:eastAsia="zh-CN"/>
              </w:rPr>
            </w:pPr>
            <w:r>
              <w:rPr>
                <w:rFonts w:ascii="Calibri" w:eastAsia="宋体" w:hAnsi="Calibri" w:cstheme="minorBidi" w:hint="eastAsia"/>
                <w:b/>
                <w:bCs/>
                <w:color w:val="000000"/>
                <w:kern w:val="2"/>
                <w:sz w:val="21"/>
                <w:szCs w:val="21"/>
                <w:lang w:eastAsia="zh-CN"/>
              </w:rPr>
              <w:t>备注</w:t>
            </w: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400" w:type="pct"/>
            <w:vAlign w:val="center"/>
          </w:tcPr>
          <w:p>
            <w:pPr>
              <w:jc w:val="center"/>
              <w:textAlignment w:val="center"/>
              <w:rPr>
                <w:rFonts w:eastAsia="宋体"/>
                <w:b/>
                <w:bCs/>
                <w:color w:val="000000"/>
                <w:sz w:val="21"/>
                <w:szCs w:val="21"/>
                <w:lang w:eastAsia="zh-CN"/>
              </w:rPr>
            </w:pPr>
          </w:p>
        </w:tc>
        <w:tc>
          <w:tcPr>
            <w:tcW w:w="1676" w:type="pct"/>
            <w:vAlign w:val="center"/>
          </w:tcPr>
          <w:p>
            <w:pPr>
              <w:jc w:val="center"/>
              <w:textAlignment w:val="center"/>
              <w:rPr>
                <w:rFonts w:eastAsia="宋体"/>
                <w:b/>
                <w:bCs/>
                <w:color w:val="000000"/>
                <w:sz w:val="21"/>
                <w:szCs w:val="21"/>
                <w:lang w:eastAsia="zh-CN"/>
              </w:rPr>
            </w:pPr>
          </w:p>
        </w:tc>
        <w:tc>
          <w:tcPr>
            <w:tcW w:w="1673" w:type="pct"/>
            <w:vAlign w:val="center"/>
          </w:tcPr>
          <w:p>
            <w:pPr>
              <w:jc w:val="center"/>
              <w:textAlignment w:val="center"/>
              <w:rPr>
                <w:rFonts w:ascii="Calibri" w:eastAsia="宋体" w:hAnsi="Calibri"/>
                <w:b/>
                <w:bCs/>
                <w:color w:val="000000"/>
                <w:kern w:val="2"/>
                <w:sz w:val="21"/>
                <w:szCs w:val="21"/>
                <w:lang w:eastAsia="zh-CN"/>
              </w:rPr>
            </w:pPr>
          </w:p>
        </w:tc>
        <w:tc>
          <w:tcPr>
            <w:tcW w:w="667"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bl>
    <w:p>
      <w:pPr>
        <w:widowControl w:val="0"/>
        <w:spacing w:line="440" w:lineRule="exact"/>
        <w:jc w:val="both"/>
        <w:rPr>
          <w:rFonts w:eastAsia="宋体"/>
          <w:color w:val="000000"/>
          <w:spacing w:val="-7"/>
          <w:kern w:val="2"/>
          <w:sz w:val="21"/>
          <w:szCs w:val="22"/>
          <w:lang w:eastAsia="zh-CN"/>
        </w:rPr>
      </w:pPr>
      <w:r>
        <w:rPr>
          <w:rFonts w:eastAsia="宋体" w:hint="eastAsia"/>
          <w:color w:val="000000"/>
          <w:spacing w:val="-7"/>
          <w:kern w:val="2"/>
          <w:sz w:val="21"/>
          <w:szCs w:val="22"/>
          <w:lang w:eastAsia="zh-CN"/>
        </w:rPr>
        <w:t>注：1、</w:t>
      </w:r>
      <w:r>
        <w:rPr>
          <w:rFonts w:eastAsia="宋体"/>
          <w:color w:val="000000"/>
          <w:spacing w:val="-7"/>
          <w:kern w:val="2"/>
          <w:sz w:val="21"/>
          <w:szCs w:val="22"/>
          <w:lang w:eastAsia="zh-CN"/>
        </w:rPr>
        <w:t>投标人</w:t>
      </w:r>
      <w:r>
        <w:rPr>
          <w:rFonts w:eastAsia="宋体" w:hint="eastAsia"/>
          <w:color w:val="000000"/>
          <w:spacing w:val="-7"/>
          <w:kern w:val="2"/>
          <w:sz w:val="21"/>
          <w:szCs w:val="22"/>
          <w:lang w:eastAsia="zh-CN"/>
        </w:rPr>
        <w:t>应对照“第一册专用条款 第三章用户需求书 三、技术要求”如实填写该表，并</w:t>
      </w:r>
      <w:r>
        <w:rPr>
          <w:rFonts w:eastAsia="宋体"/>
          <w:color w:val="000000"/>
          <w:spacing w:val="-7"/>
          <w:kern w:val="2"/>
          <w:sz w:val="21"/>
          <w:szCs w:val="22"/>
          <w:lang w:eastAsia="zh-CN"/>
        </w:rPr>
        <w:t>保证除技术</w:t>
      </w:r>
      <w:r>
        <w:rPr>
          <w:rFonts w:eastAsia="宋体" w:hint="eastAsia"/>
          <w:color w:val="000000"/>
          <w:spacing w:val="-7"/>
          <w:kern w:val="2"/>
          <w:sz w:val="21"/>
          <w:szCs w:val="22"/>
          <w:lang w:eastAsia="zh-CN"/>
        </w:rPr>
        <w:t>要求偏差</w:t>
      </w:r>
      <w:r>
        <w:rPr>
          <w:rFonts w:eastAsia="宋体"/>
          <w:color w:val="000000"/>
          <w:spacing w:val="-7"/>
          <w:kern w:val="2"/>
          <w:sz w:val="21"/>
          <w:szCs w:val="22"/>
          <w:lang w:eastAsia="zh-CN"/>
        </w:rPr>
        <w:t>表列出的</w:t>
      </w:r>
      <w:r>
        <w:rPr>
          <w:rFonts w:eastAsia="宋体" w:hint="eastAsia"/>
          <w:color w:val="000000"/>
          <w:spacing w:val="-7"/>
          <w:kern w:val="2"/>
          <w:sz w:val="21"/>
          <w:szCs w:val="22"/>
          <w:lang w:eastAsia="zh-CN"/>
        </w:rPr>
        <w:t>偏差</w:t>
      </w:r>
      <w:r>
        <w:rPr>
          <w:rFonts w:eastAsia="宋体"/>
          <w:color w:val="000000"/>
          <w:spacing w:val="-7"/>
          <w:kern w:val="2"/>
          <w:sz w:val="21"/>
          <w:szCs w:val="22"/>
          <w:lang w:eastAsia="zh-CN"/>
        </w:rPr>
        <w:t>外，投标人响应招标文件的全部要求。</w:t>
      </w:r>
    </w:p>
    <w:p>
      <w:pPr>
        <w:widowControl w:val="0"/>
        <w:spacing w:line="440" w:lineRule="exact"/>
        <w:jc w:val="both"/>
        <w:rPr>
          <w:rFonts w:eastAsia="宋体"/>
          <w:color w:val="000000"/>
          <w:spacing w:val="-7"/>
          <w:kern w:val="2"/>
          <w:sz w:val="21"/>
          <w:szCs w:val="22"/>
          <w:lang w:eastAsia="zh-CN"/>
        </w:rPr>
      </w:pPr>
      <w:r>
        <w:rPr>
          <w:rFonts w:eastAsia="宋体" w:hint="eastAsia"/>
          <w:color w:val="000000"/>
          <w:spacing w:val="-7"/>
          <w:kern w:val="2"/>
          <w:sz w:val="21"/>
          <w:szCs w:val="22"/>
          <w:lang w:eastAsia="zh-CN"/>
        </w:rPr>
        <w:t>2、“偏差说明”栏填写“正偏差”、“负偏差”或“无偏差”，优于采购需求的填写“正偏差”，不满足采购需求的填写“负偏差”；填写“正偏差”或“负偏差”的，需标明具体的内容。</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投标人名称：</w:t>
      </w:r>
      <w:r>
        <w:rPr>
          <w:rFonts w:ascii="Arial" w:eastAsia="宋体" w:hAnsi="Arial" w:cs="Arial"/>
          <w:snapToGrid w:val="0"/>
          <w:color w:val="000000"/>
          <w:sz w:val="21"/>
          <w:szCs w:val="21"/>
          <w:u w:val="single"/>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法定代表人或其委托代理人：</w:t>
      </w:r>
      <w:r>
        <w:rPr>
          <w:rFonts w:ascii="Arial" w:eastAsia="宋体" w:hAnsi="Arial" w:cs="Arial"/>
          <w:snapToGrid w:val="0"/>
          <w:color w:val="000000"/>
          <w:sz w:val="21"/>
          <w:szCs w:val="21"/>
          <w:u w:val="single"/>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日期：</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年</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月</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日</w:t>
      </w:r>
    </w:p>
    <w:p>
      <w:pPr>
        <w:rPr>
          <w:rFonts w:ascii="Calibri" w:eastAsia="宋体" w:hAnsi="Calibri"/>
          <w:kern w:val="2"/>
          <w:sz w:val="21"/>
          <w:szCs w:val="22"/>
          <w:lang w:eastAsia="zh-CN"/>
        </w:rPr>
      </w:pPr>
      <w:r>
        <w:rPr>
          <w:rFonts w:ascii="Calibri" w:eastAsia="宋体" w:hAnsi="Calibri" w:cstheme="minorBidi"/>
          <w:kern w:val="2"/>
          <w:sz w:val="21"/>
          <w:szCs w:val="22"/>
          <w:lang w:eastAsia="zh-CN"/>
        </w:rPr>
        <w:br w:type="page"/>
      </w:r>
    </w:p>
    <w:p>
      <w:pPr>
        <w:keepNext/>
        <w:keepLines/>
        <w:widowControl w:val="0"/>
        <w:spacing w:before="280" w:after="290" w:line="376" w:lineRule="auto"/>
        <w:ind w:firstLine="420" w:firstLineChars="200"/>
        <w:jc w:val="center"/>
        <w:outlineLvl w:val="2"/>
        <w:rPr>
          <w:rFonts w:ascii="黑体" w:eastAsia="黑体" w:hAnsi="黑体" w:cs="黑体" w:hint="eastAsia"/>
          <w:b/>
          <w:bCs/>
          <w:kern w:val="2"/>
          <w:sz w:val="28"/>
          <w:szCs w:val="28"/>
          <w:lang w:eastAsia="zh-CN"/>
        </w:rPr>
      </w:pPr>
      <w:bookmarkStart w:id="379" w:name="_Toc26522"/>
      <w:bookmarkStart w:id="380" w:name="_Toc32422"/>
      <w:bookmarkStart w:id="381" w:name="_Toc256000072"/>
      <w:r>
        <w:rPr>
          <w:rFonts w:ascii="黑体" w:eastAsia="黑体" w:hAnsi="黑体" w:cs="黑体" w:hint="eastAsia"/>
          <w:b/>
          <w:bCs/>
          <w:kern w:val="2"/>
          <w:sz w:val="28"/>
          <w:szCs w:val="28"/>
          <w:lang w:eastAsia="zh-CN"/>
        </w:rPr>
        <w:t>（三）商务要求偏差表</w:t>
      </w:r>
      <w:bookmarkEnd w:id="381"/>
      <w:bookmarkEnd w:id="379"/>
      <w:bookmarkEnd w:id="380"/>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
        <w:gridCol w:w="4357"/>
        <w:gridCol w:w="1352"/>
        <w:gridCol w:w="1137"/>
        <w:gridCol w:w="996"/>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399" w:type="pct"/>
            <w:vAlign w:val="center"/>
          </w:tcPr>
          <w:p>
            <w:pPr>
              <w:jc w:val="center"/>
              <w:textAlignment w:val="center"/>
              <w:rPr>
                <w:rFonts w:eastAsia="宋体"/>
                <w:b/>
                <w:bCs/>
                <w:color w:val="000000"/>
                <w:kern w:val="2"/>
                <w:sz w:val="21"/>
                <w:szCs w:val="21"/>
                <w:lang w:eastAsia="zh-CN"/>
              </w:rPr>
            </w:pPr>
            <w:r>
              <w:rPr>
                <w:rFonts w:eastAsia="宋体"/>
                <w:b/>
                <w:bCs/>
                <w:color w:val="000000"/>
                <w:sz w:val="21"/>
                <w:szCs w:val="21"/>
                <w:lang w:eastAsia="zh-CN"/>
              </w:rPr>
              <w:t>序号</w:t>
            </w:r>
          </w:p>
        </w:tc>
        <w:tc>
          <w:tcPr>
            <w:tcW w:w="2555" w:type="pct"/>
            <w:vAlign w:val="center"/>
          </w:tcPr>
          <w:p>
            <w:pPr>
              <w:jc w:val="center"/>
              <w:textAlignment w:val="center"/>
              <w:rPr>
                <w:rFonts w:eastAsia="宋体"/>
                <w:b/>
                <w:bCs/>
                <w:color w:val="000000"/>
                <w:kern w:val="2"/>
                <w:sz w:val="21"/>
                <w:szCs w:val="21"/>
                <w:lang w:eastAsia="zh-CN"/>
              </w:rPr>
            </w:pPr>
            <w:r>
              <w:rPr>
                <w:rFonts w:eastAsia="宋体"/>
                <w:b/>
                <w:bCs/>
                <w:color w:val="000000"/>
                <w:sz w:val="21"/>
                <w:szCs w:val="21"/>
                <w:lang w:eastAsia="zh-CN"/>
              </w:rPr>
              <w:t>招标</w:t>
            </w:r>
            <w:r>
              <w:rPr>
                <w:rFonts w:eastAsia="宋体" w:hint="eastAsia"/>
                <w:b/>
                <w:bCs/>
                <w:color w:val="000000"/>
                <w:sz w:val="21"/>
                <w:szCs w:val="21"/>
                <w:lang w:eastAsia="zh-CN"/>
              </w:rPr>
              <w:t>商务</w:t>
            </w:r>
            <w:r>
              <w:rPr>
                <w:rFonts w:eastAsia="宋体"/>
                <w:b/>
                <w:bCs/>
                <w:color w:val="000000"/>
                <w:sz w:val="21"/>
                <w:szCs w:val="21"/>
                <w:lang w:eastAsia="zh-CN"/>
              </w:rPr>
              <w:t>要求</w:t>
            </w:r>
          </w:p>
        </w:tc>
        <w:tc>
          <w:tcPr>
            <w:tcW w:w="792" w:type="pct"/>
            <w:vAlign w:val="center"/>
          </w:tcPr>
          <w:p>
            <w:pPr>
              <w:jc w:val="center"/>
              <w:textAlignment w:val="center"/>
              <w:rPr>
                <w:rFonts w:eastAsia="宋体"/>
                <w:b/>
                <w:bCs/>
                <w:color w:val="000000"/>
                <w:sz w:val="21"/>
                <w:szCs w:val="21"/>
                <w:lang w:eastAsia="zh-CN"/>
              </w:rPr>
            </w:pPr>
            <w:r>
              <w:rPr>
                <w:rFonts w:ascii="Calibri" w:eastAsia="宋体" w:hAnsi="Calibri" w:cstheme="minorBidi" w:hint="eastAsia"/>
                <w:b/>
                <w:bCs/>
                <w:color w:val="000000"/>
                <w:kern w:val="2"/>
                <w:sz w:val="21"/>
                <w:szCs w:val="21"/>
                <w:lang w:eastAsia="zh-CN"/>
              </w:rPr>
              <w:t>投标文件响应情况</w:t>
            </w:r>
          </w:p>
        </w:tc>
        <w:tc>
          <w:tcPr>
            <w:tcW w:w="666" w:type="pct"/>
            <w:vAlign w:val="center"/>
          </w:tcPr>
          <w:p>
            <w:pPr>
              <w:jc w:val="center"/>
              <w:textAlignment w:val="center"/>
              <w:rPr>
                <w:rFonts w:eastAsia="宋体"/>
                <w:b/>
                <w:bCs/>
                <w:color w:val="000000"/>
                <w:sz w:val="21"/>
                <w:szCs w:val="21"/>
                <w:lang w:eastAsia="zh-CN"/>
              </w:rPr>
            </w:pPr>
            <w:r>
              <w:rPr>
                <w:rFonts w:ascii="Calibri" w:eastAsia="宋体" w:hAnsi="Calibri" w:cstheme="minorBidi" w:hint="eastAsia"/>
                <w:b/>
                <w:bCs/>
                <w:color w:val="000000"/>
                <w:kern w:val="2"/>
                <w:sz w:val="21"/>
                <w:szCs w:val="21"/>
                <w:lang w:eastAsia="zh-CN"/>
              </w:rPr>
              <w:t>偏差说明</w:t>
            </w:r>
          </w:p>
        </w:tc>
        <w:tc>
          <w:tcPr>
            <w:tcW w:w="584" w:type="pct"/>
            <w:vAlign w:val="center"/>
          </w:tcPr>
          <w:p>
            <w:pPr>
              <w:jc w:val="center"/>
              <w:textAlignment w:val="center"/>
              <w:rPr>
                <w:rFonts w:eastAsia="宋体"/>
                <w:b/>
                <w:bCs/>
                <w:color w:val="000000"/>
                <w:sz w:val="21"/>
                <w:szCs w:val="21"/>
                <w:lang w:eastAsia="zh-CN"/>
              </w:rPr>
            </w:pPr>
            <w:r>
              <w:rPr>
                <w:rFonts w:ascii="Calibri" w:eastAsia="宋体" w:hAnsi="Calibri" w:cstheme="minorBidi" w:hint="eastAsia"/>
                <w:b/>
                <w:bCs/>
                <w:color w:val="000000"/>
                <w:kern w:val="2"/>
                <w:sz w:val="21"/>
                <w:szCs w:val="21"/>
                <w:lang w:eastAsia="zh-CN"/>
              </w:rPr>
              <w:t>备注</w:t>
            </w: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tabs>
                <w:tab w:val="left" w:pos="1260"/>
              </w:tabs>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tabs>
                <w:tab w:val="left" w:pos="1260"/>
              </w:tabs>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tabs>
                <w:tab w:val="left" w:pos="1260"/>
              </w:tabs>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tabs>
                <w:tab w:val="left" w:pos="1260"/>
              </w:tabs>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r>
        <w:tblPrEx>
          <w:tblW w:w="5000" w:type="pct"/>
          <w:tblInd w:w="0" w:type="dxa"/>
          <w:tblLayout w:type="fixed"/>
          <w:tblCellMar>
            <w:top w:w="0" w:type="dxa"/>
            <w:left w:w="108" w:type="dxa"/>
            <w:bottom w:w="0" w:type="dxa"/>
            <w:right w:w="108" w:type="dxa"/>
          </w:tblCellMar>
        </w:tblPrEx>
        <w:tc>
          <w:tcPr>
            <w:tcW w:w="743" w:type="dxa"/>
            <w:vAlign w:val="center"/>
          </w:tcPr>
          <w:p>
            <w:pPr>
              <w:spacing w:line="400" w:lineRule="exact"/>
              <w:jc w:val="center"/>
              <w:rPr>
                <w:rFonts w:eastAsia="宋体"/>
                <w:b/>
                <w:bCs/>
                <w:color w:val="000000"/>
                <w:sz w:val="21"/>
                <w:szCs w:val="21"/>
                <w:lang w:eastAsia="zh-CN"/>
              </w:rPr>
            </w:pPr>
          </w:p>
        </w:tc>
        <w:tc>
          <w:tcPr>
            <w:tcW w:w="4748" w:type="dxa"/>
            <w:vAlign w:val="center"/>
          </w:tcPr>
          <w:p>
            <w:pPr>
              <w:spacing w:line="400" w:lineRule="exact"/>
              <w:rPr>
                <w:rFonts w:eastAsia="宋体"/>
                <w:b/>
                <w:bCs/>
                <w:color w:val="000000"/>
                <w:sz w:val="21"/>
                <w:szCs w:val="21"/>
                <w:lang w:eastAsia="zh-CN"/>
              </w:rPr>
            </w:pPr>
          </w:p>
        </w:tc>
        <w:tc>
          <w:tcPr>
            <w:tcW w:w="792" w:type="pct"/>
            <w:vAlign w:val="center"/>
          </w:tcPr>
          <w:p>
            <w:pPr>
              <w:jc w:val="center"/>
              <w:textAlignment w:val="center"/>
              <w:rPr>
                <w:rFonts w:ascii="Calibri" w:eastAsia="宋体" w:hAnsi="Calibri"/>
                <w:b/>
                <w:bCs/>
                <w:color w:val="000000"/>
                <w:kern w:val="2"/>
                <w:sz w:val="21"/>
                <w:szCs w:val="21"/>
                <w:lang w:eastAsia="zh-CN"/>
              </w:rPr>
            </w:pPr>
          </w:p>
        </w:tc>
        <w:tc>
          <w:tcPr>
            <w:tcW w:w="666" w:type="pct"/>
            <w:vAlign w:val="center"/>
          </w:tcPr>
          <w:p>
            <w:pPr>
              <w:jc w:val="center"/>
              <w:textAlignment w:val="center"/>
              <w:rPr>
                <w:rFonts w:ascii="Calibri" w:eastAsia="宋体" w:hAnsi="Calibri"/>
                <w:b/>
                <w:bCs/>
                <w:color w:val="000000"/>
                <w:kern w:val="2"/>
                <w:sz w:val="21"/>
                <w:szCs w:val="21"/>
                <w:lang w:eastAsia="zh-CN"/>
              </w:rPr>
            </w:pPr>
          </w:p>
        </w:tc>
        <w:tc>
          <w:tcPr>
            <w:tcW w:w="584" w:type="pct"/>
            <w:vAlign w:val="center"/>
          </w:tcPr>
          <w:p>
            <w:pPr>
              <w:jc w:val="center"/>
              <w:textAlignment w:val="center"/>
              <w:rPr>
                <w:rFonts w:ascii="Calibri" w:eastAsia="宋体" w:hAnsi="Calibri"/>
                <w:b/>
                <w:bCs/>
                <w:color w:val="000000"/>
                <w:kern w:val="2"/>
                <w:sz w:val="21"/>
                <w:szCs w:val="21"/>
                <w:lang w:eastAsia="zh-CN"/>
              </w:rPr>
            </w:pPr>
          </w:p>
        </w:tc>
      </w:tr>
    </w:tbl>
    <w:p>
      <w:pPr>
        <w:widowControl w:val="0"/>
        <w:spacing w:line="440" w:lineRule="exact"/>
        <w:jc w:val="both"/>
        <w:rPr>
          <w:rFonts w:eastAsia="宋体"/>
          <w:color w:val="000000"/>
          <w:spacing w:val="-7"/>
          <w:kern w:val="2"/>
          <w:sz w:val="21"/>
          <w:szCs w:val="22"/>
          <w:lang w:eastAsia="zh-CN"/>
        </w:rPr>
      </w:pPr>
      <w:r>
        <w:rPr>
          <w:rFonts w:eastAsia="宋体" w:hint="eastAsia"/>
          <w:color w:val="000000"/>
          <w:spacing w:val="-7"/>
          <w:kern w:val="2"/>
          <w:sz w:val="21"/>
          <w:szCs w:val="22"/>
          <w:lang w:eastAsia="zh-CN"/>
        </w:rPr>
        <w:t>注：1、</w:t>
      </w:r>
      <w:r>
        <w:rPr>
          <w:rFonts w:eastAsia="宋体"/>
          <w:color w:val="000000"/>
          <w:spacing w:val="-7"/>
          <w:kern w:val="2"/>
          <w:sz w:val="21"/>
          <w:szCs w:val="22"/>
          <w:lang w:eastAsia="zh-CN"/>
        </w:rPr>
        <w:t>投标人</w:t>
      </w:r>
      <w:r>
        <w:rPr>
          <w:rFonts w:eastAsia="宋体" w:hint="eastAsia"/>
          <w:color w:val="000000"/>
          <w:spacing w:val="-7"/>
          <w:kern w:val="2"/>
          <w:sz w:val="21"/>
          <w:szCs w:val="22"/>
          <w:lang w:eastAsia="zh-CN"/>
        </w:rPr>
        <w:t>应对照“第一册专用条款 第三章用户需求书 四、商务要求”如实填写该表，并</w:t>
      </w:r>
      <w:r>
        <w:rPr>
          <w:rFonts w:eastAsia="宋体"/>
          <w:color w:val="000000"/>
          <w:spacing w:val="-7"/>
          <w:kern w:val="2"/>
          <w:sz w:val="21"/>
          <w:szCs w:val="22"/>
          <w:lang w:eastAsia="zh-CN"/>
        </w:rPr>
        <w:t>保证除</w:t>
      </w:r>
      <w:r>
        <w:rPr>
          <w:rFonts w:eastAsia="宋体" w:hint="eastAsia"/>
          <w:color w:val="000000"/>
          <w:spacing w:val="-7"/>
          <w:kern w:val="2"/>
          <w:sz w:val="21"/>
          <w:szCs w:val="22"/>
          <w:lang w:eastAsia="zh-CN"/>
        </w:rPr>
        <w:t>商务要求偏差</w:t>
      </w:r>
      <w:r>
        <w:rPr>
          <w:rFonts w:eastAsia="宋体"/>
          <w:color w:val="000000"/>
          <w:spacing w:val="-7"/>
          <w:kern w:val="2"/>
          <w:sz w:val="21"/>
          <w:szCs w:val="22"/>
          <w:lang w:eastAsia="zh-CN"/>
        </w:rPr>
        <w:t>表列出的</w:t>
      </w:r>
      <w:r>
        <w:rPr>
          <w:rFonts w:eastAsia="宋体" w:hint="eastAsia"/>
          <w:color w:val="000000"/>
          <w:spacing w:val="-7"/>
          <w:kern w:val="2"/>
          <w:sz w:val="21"/>
          <w:szCs w:val="22"/>
          <w:lang w:eastAsia="zh-CN"/>
        </w:rPr>
        <w:t>偏差</w:t>
      </w:r>
      <w:r>
        <w:rPr>
          <w:rFonts w:eastAsia="宋体"/>
          <w:color w:val="000000"/>
          <w:spacing w:val="-7"/>
          <w:kern w:val="2"/>
          <w:sz w:val="21"/>
          <w:szCs w:val="22"/>
          <w:lang w:eastAsia="zh-CN"/>
        </w:rPr>
        <w:t>外，投标人响应招标文件的全部要求。</w:t>
      </w:r>
    </w:p>
    <w:p>
      <w:pPr>
        <w:widowControl w:val="0"/>
        <w:spacing w:line="440" w:lineRule="exact"/>
        <w:jc w:val="both"/>
        <w:rPr>
          <w:rFonts w:eastAsia="宋体"/>
          <w:color w:val="000000"/>
          <w:spacing w:val="-7"/>
          <w:kern w:val="2"/>
          <w:sz w:val="21"/>
          <w:szCs w:val="22"/>
          <w:lang w:eastAsia="zh-CN"/>
        </w:rPr>
      </w:pPr>
      <w:r>
        <w:rPr>
          <w:rFonts w:eastAsia="宋体" w:hint="eastAsia"/>
          <w:color w:val="000000"/>
          <w:spacing w:val="-7"/>
          <w:kern w:val="2"/>
          <w:sz w:val="21"/>
          <w:szCs w:val="22"/>
          <w:lang w:eastAsia="zh-CN"/>
        </w:rPr>
        <w:t>2、“偏差说明”栏填写“正偏差”、“负偏差”或“无偏差”，优于采购需求的填写“正偏差”，不满足采购需求的填写“负偏差”；填写“正偏差”或“负偏差”的，需标明具体的内容。</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投标人名称：</w:t>
      </w:r>
      <w:r>
        <w:rPr>
          <w:rFonts w:ascii="Arial" w:eastAsia="宋体" w:hAnsi="Arial" w:cs="Arial"/>
          <w:snapToGrid w:val="0"/>
          <w:color w:val="000000"/>
          <w:sz w:val="21"/>
          <w:szCs w:val="21"/>
          <w:u w:val="single"/>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法定代表人或其委托代理人：</w:t>
      </w:r>
      <w:r>
        <w:rPr>
          <w:rFonts w:ascii="Arial" w:eastAsia="宋体" w:hAnsi="Arial" w:cs="Arial"/>
          <w:snapToGrid w:val="0"/>
          <w:color w:val="000000"/>
          <w:sz w:val="21"/>
          <w:szCs w:val="21"/>
          <w:u w:val="single"/>
          <w:lang w:eastAsia="zh-CN"/>
        </w:rPr>
        <w:t xml:space="preserve">                   </w:t>
      </w:r>
    </w:p>
    <w:p>
      <w:pPr>
        <w:kinsoku w:val="0"/>
        <w:autoSpaceDE w:val="0"/>
        <w:autoSpaceDN w:val="0"/>
        <w:adjustRightInd w:val="0"/>
        <w:snapToGrid w:val="0"/>
        <w:spacing w:line="400" w:lineRule="exact"/>
        <w:ind w:firstLine="2125" w:firstLineChars="1012"/>
        <w:textAlignment w:val="baseline"/>
        <w:rPr>
          <w:rFonts w:ascii="Arial" w:eastAsia="宋体" w:hAnsi="Arial" w:cs="Arial"/>
          <w:snapToGrid w:val="0"/>
          <w:color w:val="000000"/>
          <w:sz w:val="21"/>
          <w:szCs w:val="21"/>
          <w:lang w:eastAsia="zh-CN"/>
        </w:rPr>
      </w:pPr>
      <w:r>
        <w:rPr>
          <w:rFonts w:ascii="Arial" w:eastAsia="宋体" w:hAnsi="Arial" w:cs="Arial" w:hint="eastAsia"/>
          <w:snapToGrid w:val="0"/>
          <w:color w:val="000000"/>
          <w:sz w:val="21"/>
          <w:szCs w:val="21"/>
          <w:lang w:eastAsia="zh-CN"/>
        </w:rPr>
        <w:t>日期：</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年</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月</w:t>
      </w:r>
      <w:r>
        <w:rPr>
          <w:rFonts w:ascii="Arial" w:eastAsia="宋体" w:hAnsi="Arial" w:cs="Arial"/>
          <w:snapToGrid w:val="0"/>
          <w:color w:val="000000"/>
          <w:sz w:val="21"/>
          <w:szCs w:val="21"/>
          <w:u w:val="single"/>
          <w:lang w:eastAsia="zh-CN"/>
        </w:rPr>
        <w:t xml:space="preserve">           </w:t>
      </w:r>
      <w:r>
        <w:rPr>
          <w:rFonts w:ascii="Arial" w:eastAsia="宋体" w:hAnsi="Arial" w:cs="Arial" w:hint="eastAsia"/>
          <w:snapToGrid w:val="0"/>
          <w:color w:val="000000"/>
          <w:sz w:val="21"/>
          <w:szCs w:val="21"/>
          <w:lang w:eastAsia="zh-CN"/>
        </w:rPr>
        <w:t>日</w:t>
      </w:r>
    </w:p>
    <w:p>
      <w:pPr>
        <w:spacing w:line="400" w:lineRule="exact"/>
        <w:rPr>
          <w:rFonts w:hint="eastAsia"/>
        </w:rPr>
      </w:pPr>
    </w:p>
    <w:p>
      <w:pPr>
        <w:bidi w:val="0"/>
      </w:pPr>
      <w:r>
        <w:rPr>
          <w:rFonts w:hint="eastAsia"/>
        </w:rPr>
        <w:br w:type="page"/>
      </w:r>
      <w:bookmarkStart w:id="382" w:name="_Toc2712"/>
      <w:bookmarkStart w:id="383" w:name="_Toc106150201"/>
      <w:bookmarkStart w:id="384" w:name="_Toc5271"/>
      <w:bookmarkStart w:id="385" w:name="_Toc21281"/>
    </w:p>
    <w:p>
      <w:pPr>
        <w:spacing w:line="400" w:lineRule="exact"/>
      </w:pPr>
      <w:bookmarkEnd w:id="382"/>
      <w:bookmarkEnd w:id="383"/>
      <w:bookmarkEnd w:id="384"/>
      <w:bookmarkEnd w:id="385"/>
    </w:p>
    <w:p>
      <w:pPr>
        <w:pStyle w:val="Heading2"/>
        <w:spacing w:line="400" w:lineRule="exact"/>
        <w:jc w:val="center"/>
      </w:pPr>
      <w:bookmarkStart w:id="386" w:name="_Toc24210"/>
      <w:bookmarkStart w:id="387" w:name="_Toc11574"/>
      <w:bookmarkStart w:id="388" w:name="_Toc6035"/>
      <w:bookmarkStart w:id="389" w:name="_Toc9309"/>
      <w:bookmarkStart w:id="390" w:name="_Toc22718"/>
      <w:bookmarkStart w:id="391" w:name="_Toc256000073"/>
      <w:r>
        <w:t>格式</w:t>
      </w:r>
      <w:r>
        <w:rPr>
          <w:rFonts w:hint="eastAsia"/>
          <w:lang w:val="en-US" w:eastAsia="zh-CN"/>
        </w:rPr>
        <w:t>10</w:t>
      </w:r>
      <w:r>
        <w:t>：</w:t>
      </w:r>
      <w:r>
        <w:rPr>
          <w:rFonts w:hint="eastAsia"/>
        </w:rPr>
        <w:t>环保标志产品、节能产品</w:t>
      </w:r>
      <w:r>
        <w:t>政策适用性说明</w:t>
      </w:r>
      <w:bookmarkEnd w:id="391"/>
      <w:bookmarkEnd w:id="386"/>
      <w:bookmarkEnd w:id="387"/>
      <w:bookmarkEnd w:id="388"/>
      <w:bookmarkEnd w:id="389"/>
      <w:bookmarkEnd w:id="390"/>
    </w:p>
    <w:p>
      <w:pPr>
        <w:jc w:val="center"/>
        <w:rPr>
          <w:b/>
          <w:bCs/>
          <w:color w:val="FF0000"/>
          <w:sz w:val="24"/>
        </w:rPr>
      </w:pPr>
      <w:r>
        <w:rPr>
          <w:rFonts w:ascii="楷体" w:eastAsia="楷体" w:hAnsi="楷体" w:cs="楷体" w:hint="eastAsia"/>
          <w:b/>
          <w:bCs/>
          <w:color w:val="FF0000"/>
          <w:sz w:val="24"/>
        </w:rPr>
        <w:t>（不适用政府采购环保标志产品、节能产品政策的无需提供本说明）</w:t>
      </w:r>
    </w:p>
    <w:p>
      <w:pPr>
        <w:spacing w:line="400" w:lineRule="exact"/>
      </w:pPr>
      <w:r>
        <w:rPr>
          <w:rFonts w:hint="eastAsia"/>
        </w:rPr>
        <w:t>按照政府采购有关政策的要求，在本次投标的技术方案中，采用符合政策的环保标志产品、节能产品，主要产品与核心技术介绍说明如下：</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45"/>
        <w:gridCol w:w="2592"/>
        <w:gridCol w:w="2036"/>
        <w:gridCol w:w="1777"/>
        <w:gridCol w:w="1632"/>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98"/>
          <w:jc w:val="center"/>
        </w:trPr>
        <w:tc>
          <w:tcPr>
            <w:tcW w:w="745" w:type="dxa"/>
            <w:vAlign w:val="center"/>
          </w:tcPr>
          <w:p>
            <w:pPr>
              <w:spacing w:line="400" w:lineRule="exact"/>
              <w:jc w:val="center"/>
            </w:pPr>
            <w:r>
              <w:rPr>
                <w:rFonts w:hint="eastAsia"/>
              </w:rPr>
              <w:t>类别</w:t>
            </w:r>
          </w:p>
        </w:tc>
        <w:tc>
          <w:tcPr>
            <w:tcW w:w="2592" w:type="dxa"/>
            <w:vAlign w:val="center"/>
          </w:tcPr>
          <w:p>
            <w:pPr>
              <w:spacing w:line="400" w:lineRule="exact"/>
              <w:jc w:val="center"/>
            </w:pPr>
            <w:r>
              <w:rPr>
                <w:rFonts w:hint="eastAsia"/>
              </w:rPr>
              <w:t>主要产品/技术名称</w:t>
            </w:r>
          </w:p>
          <w:p>
            <w:pPr>
              <w:spacing w:line="400" w:lineRule="exact"/>
              <w:jc w:val="center"/>
            </w:pPr>
            <w:r>
              <w:rPr>
                <w:rFonts w:hint="eastAsia"/>
              </w:rPr>
              <w:t>（规格型号、注册商标）</w:t>
            </w:r>
          </w:p>
        </w:tc>
        <w:tc>
          <w:tcPr>
            <w:tcW w:w="2036" w:type="dxa"/>
            <w:vAlign w:val="center"/>
          </w:tcPr>
          <w:p>
            <w:pPr>
              <w:spacing w:line="400" w:lineRule="exact"/>
              <w:jc w:val="center"/>
            </w:pPr>
            <w:r>
              <w:rPr>
                <w:rFonts w:hint="eastAsia"/>
              </w:rPr>
              <w:t>制造商/开发商</w:t>
            </w:r>
          </w:p>
        </w:tc>
        <w:tc>
          <w:tcPr>
            <w:tcW w:w="1777" w:type="dxa"/>
            <w:vAlign w:val="center"/>
          </w:tcPr>
          <w:p>
            <w:pPr>
              <w:spacing w:line="400" w:lineRule="exact"/>
              <w:jc w:val="center"/>
            </w:pPr>
            <w:r>
              <w:rPr>
                <w:rFonts w:hint="eastAsia"/>
              </w:rPr>
              <w:t>认证证书编号</w:t>
            </w:r>
          </w:p>
        </w:tc>
        <w:tc>
          <w:tcPr>
            <w:tcW w:w="1632" w:type="dxa"/>
            <w:vAlign w:val="center"/>
          </w:tcPr>
          <w:p>
            <w:pPr>
              <w:spacing w:line="400" w:lineRule="exact"/>
              <w:jc w:val="center"/>
            </w:pPr>
            <w:r>
              <w:rPr>
                <w:rFonts w:hint="eastAsia"/>
              </w:rPr>
              <w:t>使用价值量占总金额比重（累计%）</w:t>
            </w:r>
          </w:p>
        </w:tc>
      </w:tr>
      <w:tr>
        <w:tblPrEx>
          <w:tblW w:w="0" w:type="auto"/>
          <w:jc w:val="center"/>
          <w:tblLayout w:type="fixed"/>
          <w:tblCellMar>
            <w:top w:w="0" w:type="dxa"/>
            <w:left w:w="108" w:type="dxa"/>
            <w:bottom w:w="0" w:type="dxa"/>
            <w:right w:w="108" w:type="dxa"/>
          </w:tblCellMar>
        </w:tblPrEx>
        <w:trPr>
          <w:cantSplit/>
          <w:trHeight w:val="567"/>
          <w:jc w:val="center"/>
        </w:trPr>
        <w:tc>
          <w:tcPr>
            <w:tcW w:w="745" w:type="dxa"/>
            <w:vMerge w:val="restart"/>
            <w:vAlign w:val="center"/>
          </w:tcPr>
          <w:p>
            <w:pPr>
              <w:spacing w:line="400" w:lineRule="exact"/>
            </w:pPr>
            <w:r>
              <w:rPr>
                <w:rFonts w:hint="eastAsia"/>
              </w:rPr>
              <w:t>环保标志产品</w:t>
            </w:r>
          </w:p>
        </w:tc>
        <w:tc>
          <w:tcPr>
            <w:tcW w:w="2592" w:type="dxa"/>
            <w:vAlign w:val="center"/>
          </w:tcPr>
          <w:p>
            <w:pPr>
              <w:spacing w:line="400" w:lineRule="exact"/>
            </w:pPr>
          </w:p>
        </w:tc>
        <w:tc>
          <w:tcPr>
            <w:tcW w:w="2036" w:type="dxa"/>
            <w:vAlign w:val="center"/>
          </w:tcPr>
          <w:p>
            <w:pPr>
              <w:spacing w:line="400" w:lineRule="exact"/>
            </w:pPr>
          </w:p>
        </w:tc>
        <w:tc>
          <w:tcPr>
            <w:tcW w:w="1777" w:type="dxa"/>
            <w:vAlign w:val="center"/>
          </w:tcPr>
          <w:p>
            <w:pPr>
              <w:spacing w:line="400" w:lineRule="exact"/>
            </w:pPr>
          </w:p>
        </w:tc>
        <w:tc>
          <w:tcPr>
            <w:tcW w:w="1632"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cantSplit/>
          <w:trHeight w:val="567"/>
          <w:jc w:val="center"/>
        </w:trPr>
        <w:tc>
          <w:tcPr>
            <w:tcW w:w="745" w:type="dxa"/>
            <w:vMerge/>
            <w:vAlign w:val="center"/>
          </w:tcPr>
          <w:p>
            <w:pPr>
              <w:spacing w:line="400" w:lineRule="exact"/>
            </w:pPr>
          </w:p>
        </w:tc>
        <w:tc>
          <w:tcPr>
            <w:tcW w:w="2592" w:type="dxa"/>
            <w:vAlign w:val="center"/>
          </w:tcPr>
          <w:p>
            <w:pPr>
              <w:spacing w:line="400" w:lineRule="exact"/>
            </w:pPr>
          </w:p>
        </w:tc>
        <w:tc>
          <w:tcPr>
            <w:tcW w:w="2036" w:type="dxa"/>
            <w:vAlign w:val="center"/>
          </w:tcPr>
          <w:p>
            <w:pPr>
              <w:spacing w:line="400" w:lineRule="exact"/>
            </w:pPr>
          </w:p>
        </w:tc>
        <w:tc>
          <w:tcPr>
            <w:tcW w:w="1777" w:type="dxa"/>
            <w:vAlign w:val="center"/>
          </w:tcPr>
          <w:p>
            <w:pPr>
              <w:spacing w:line="400" w:lineRule="exact"/>
            </w:pPr>
          </w:p>
        </w:tc>
        <w:tc>
          <w:tcPr>
            <w:tcW w:w="1632"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cantSplit/>
          <w:trHeight w:val="567"/>
          <w:jc w:val="center"/>
        </w:trPr>
        <w:tc>
          <w:tcPr>
            <w:tcW w:w="745" w:type="dxa"/>
            <w:vMerge/>
            <w:vAlign w:val="center"/>
          </w:tcPr>
          <w:p>
            <w:pPr>
              <w:spacing w:line="400" w:lineRule="exact"/>
            </w:pPr>
          </w:p>
        </w:tc>
        <w:tc>
          <w:tcPr>
            <w:tcW w:w="2592" w:type="dxa"/>
            <w:vAlign w:val="center"/>
          </w:tcPr>
          <w:p>
            <w:pPr>
              <w:spacing w:line="400" w:lineRule="exact"/>
            </w:pPr>
          </w:p>
        </w:tc>
        <w:tc>
          <w:tcPr>
            <w:tcW w:w="2036" w:type="dxa"/>
            <w:vAlign w:val="center"/>
          </w:tcPr>
          <w:p>
            <w:pPr>
              <w:spacing w:line="400" w:lineRule="exact"/>
            </w:pPr>
          </w:p>
        </w:tc>
        <w:tc>
          <w:tcPr>
            <w:tcW w:w="1777" w:type="dxa"/>
            <w:vAlign w:val="center"/>
          </w:tcPr>
          <w:p>
            <w:pPr>
              <w:spacing w:line="400" w:lineRule="exact"/>
            </w:pPr>
          </w:p>
        </w:tc>
        <w:tc>
          <w:tcPr>
            <w:tcW w:w="1632"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cantSplit/>
          <w:trHeight w:val="567"/>
          <w:jc w:val="center"/>
        </w:trPr>
        <w:tc>
          <w:tcPr>
            <w:tcW w:w="745" w:type="dxa"/>
            <w:vMerge w:val="restart"/>
            <w:vAlign w:val="center"/>
          </w:tcPr>
          <w:p>
            <w:pPr>
              <w:spacing w:line="400" w:lineRule="exact"/>
            </w:pPr>
            <w:r>
              <w:rPr>
                <w:rFonts w:hint="eastAsia"/>
              </w:rPr>
              <w:t>节能产品</w:t>
            </w:r>
          </w:p>
        </w:tc>
        <w:tc>
          <w:tcPr>
            <w:tcW w:w="2592" w:type="dxa"/>
            <w:vAlign w:val="center"/>
          </w:tcPr>
          <w:p>
            <w:pPr>
              <w:spacing w:line="400" w:lineRule="exact"/>
            </w:pPr>
          </w:p>
        </w:tc>
        <w:tc>
          <w:tcPr>
            <w:tcW w:w="2036" w:type="dxa"/>
            <w:vAlign w:val="center"/>
          </w:tcPr>
          <w:p>
            <w:pPr>
              <w:spacing w:line="400" w:lineRule="exact"/>
            </w:pPr>
          </w:p>
        </w:tc>
        <w:tc>
          <w:tcPr>
            <w:tcW w:w="1777" w:type="dxa"/>
            <w:vAlign w:val="center"/>
          </w:tcPr>
          <w:p>
            <w:pPr>
              <w:spacing w:line="400" w:lineRule="exact"/>
            </w:pPr>
          </w:p>
        </w:tc>
        <w:tc>
          <w:tcPr>
            <w:tcW w:w="1632"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cantSplit/>
          <w:trHeight w:val="567"/>
          <w:jc w:val="center"/>
        </w:trPr>
        <w:tc>
          <w:tcPr>
            <w:tcW w:w="745" w:type="dxa"/>
            <w:vMerge/>
            <w:vAlign w:val="center"/>
          </w:tcPr>
          <w:p>
            <w:pPr>
              <w:spacing w:line="400" w:lineRule="exact"/>
            </w:pPr>
          </w:p>
        </w:tc>
        <w:tc>
          <w:tcPr>
            <w:tcW w:w="2592" w:type="dxa"/>
            <w:vAlign w:val="center"/>
          </w:tcPr>
          <w:p>
            <w:pPr>
              <w:spacing w:line="400" w:lineRule="exact"/>
            </w:pPr>
          </w:p>
        </w:tc>
        <w:tc>
          <w:tcPr>
            <w:tcW w:w="2036" w:type="dxa"/>
            <w:vAlign w:val="center"/>
          </w:tcPr>
          <w:p>
            <w:pPr>
              <w:spacing w:line="400" w:lineRule="exact"/>
            </w:pPr>
          </w:p>
        </w:tc>
        <w:tc>
          <w:tcPr>
            <w:tcW w:w="1777" w:type="dxa"/>
            <w:vAlign w:val="center"/>
          </w:tcPr>
          <w:p>
            <w:pPr>
              <w:spacing w:line="400" w:lineRule="exact"/>
            </w:pPr>
          </w:p>
        </w:tc>
        <w:tc>
          <w:tcPr>
            <w:tcW w:w="1632"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cantSplit/>
          <w:trHeight w:val="567"/>
          <w:jc w:val="center"/>
        </w:trPr>
        <w:tc>
          <w:tcPr>
            <w:tcW w:w="745" w:type="dxa"/>
            <w:vMerge/>
            <w:vAlign w:val="center"/>
          </w:tcPr>
          <w:p>
            <w:pPr>
              <w:spacing w:line="400" w:lineRule="exact"/>
            </w:pPr>
          </w:p>
        </w:tc>
        <w:tc>
          <w:tcPr>
            <w:tcW w:w="2592" w:type="dxa"/>
            <w:vAlign w:val="center"/>
          </w:tcPr>
          <w:p>
            <w:pPr>
              <w:spacing w:line="400" w:lineRule="exact"/>
            </w:pPr>
          </w:p>
        </w:tc>
        <w:tc>
          <w:tcPr>
            <w:tcW w:w="2036" w:type="dxa"/>
            <w:vAlign w:val="center"/>
          </w:tcPr>
          <w:p>
            <w:pPr>
              <w:spacing w:line="400" w:lineRule="exact"/>
            </w:pPr>
          </w:p>
        </w:tc>
        <w:tc>
          <w:tcPr>
            <w:tcW w:w="1777" w:type="dxa"/>
            <w:vAlign w:val="center"/>
          </w:tcPr>
          <w:p>
            <w:pPr>
              <w:spacing w:line="400" w:lineRule="exact"/>
            </w:pPr>
          </w:p>
        </w:tc>
        <w:tc>
          <w:tcPr>
            <w:tcW w:w="1632"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trHeight w:val="890"/>
          <w:jc w:val="center"/>
        </w:trPr>
        <w:tc>
          <w:tcPr>
            <w:tcW w:w="745" w:type="dxa"/>
            <w:vAlign w:val="center"/>
          </w:tcPr>
          <w:p>
            <w:pPr>
              <w:spacing w:line="400" w:lineRule="exact"/>
            </w:pPr>
            <w:r>
              <w:rPr>
                <w:rFonts w:hint="eastAsia"/>
              </w:rPr>
              <w:t>说明</w:t>
            </w:r>
          </w:p>
        </w:tc>
        <w:tc>
          <w:tcPr>
            <w:tcW w:w="8037" w:type="dxa"/>
            <w:gridSpan w:val="4"/>
            <w:vAlign w:val="center"/>
          </w:tcPr>
          <w:p>
            <w:pPr>
              <w:spacing w:line="400" w:lineRule="exact"/>
            </w:pPr>
          </w:p>
        </w:tc>
      </w:tr>
    </w:tbl>
    <w:p>
      <w:pPr>
        <w:spacing w:line="400" w:lineRule="exact"/>
      </w:pPr>
      <w:r>
        <w:rPr>
          <w:rFonts w:hint="eastAsia"/>
        </w:rPr>
        <w:t>注：1. “环保标志产品、节能产品”是属于国家行业主管部门颁布的</w:t>
      </w:r>
      <w:r>
        <w:t>政府采购品目清单</w:t>
      </w:r>
      <w:r>
        <w:rPr>
          <w:rFonts w:hint="eastAsia"/>
        </w:rPr>
        <w:t>中的产品，须填写认证证书编号，并同时附证书复印件。</w:t>
      </w:r>
    </w:p>
    <w:p>
      <w:pPr>
        <w:spacing w:line="400" w:lineRule="exact"/>
      </w:pPr>
      <w:r>
        <w:t>2</w:t>
      </w:r>
      <w:r>
        <w:rPr>
          <w:rFonts w:hint="eastAsia"/>
        </w:rPr>
        <w:t>.</w:t>
      </w:r>
      <w:r>
        <w:t>政府采购品目清单以</w:t>
      </w:r>
      <w:r>
        <w:rPr>
          <w:rFonts w:hint="eastAsia"/>
        </w:rPr>
        <w:t>国家行业主管部门</w:t>
      </w:r>
      <w:r>
        <w:rPr>
          <w:color w:val="333333"/>
        </w:rPr>
        <w:t>适时调整发布的品目清单为准</w:t>
      </w:r>
      <w:r>
        <w:t>。</w:t>
      </w:r>
    </w:p>
    <w:p>
      <w:pPr>
        <w:spacing w:line="400" w:lineRule="exact"/>
      </w:pPr>
      <w:r>
        <w:rPr>
          <w:rFonts w:hint="eastAsia"/>
        </w:rPr>
        <w:t>3.</w:t>
      </w:r>
      <w:r>
        <w:t>不适用政府采购环保标志产品、节能产品政策的不需要填写</w:t>
      </w:r>
      <w:r>
        <w:rPr>
          <w:rFonts w:hint="eastAsia"/>
        </w:rPr>
        <w:t>。</w:t>
      </w:r>
    </w:p>
    <w:p>
      <w:pPr>
        <w:spacing w:line="400" w:lineRule="exact"/>
      </w:pPr>
    </w:p>
    <w:p>
      <w:pPr>
        <w:spacing w:line="400" w:lineRule="exact"/>
      </w:pPr>
    </w:p>
    <w:p>
      <w:pPr>
        <w:spacing w:line="400" w:lineRule="exact"/>
      </w:pPr>
      <w:r>
        <w:rPr>
          <w:rFonts w:hint="eastAsia"/>
        </w:rPr>
        <w:t xml:space="preserve">投标人名称： </w:t>
      </w:r>
    </w:p>
    <w:p>
      <w:pPr>
        <w:spacing w:line="400" w:lineRule="exact"/>
      </w:pPr>
      <w:r>
        <w:rPr>
          <w:rFonts w:hint="eastAsia"/>
        </w:rPr>
        <w:t xml:space="preserve">法定代表人（单位负责人）或委托代理人： </w:t>
      </w:r>
    </w:p>
    <w:p>
      <w:pPr>
        <w:spacing w:line="400" w:lineRule="exact"/>
      </w:pPr>
      <w:r>
        <w:rPr>
          <w:rFonts w:hint="eastAsia"/>
        </w:rPr>
        <w:t>日期：   年   月   日</w:t>
      </w:r>
    </w:p>
    <w:p>
      <w:pPr>
        <w:spacing w:line="400" w:lineRule="exact"/>
      </w:pPr>
    </w:p>
    <w:p>
      <w:pPr>
        <w:spacing w:line="400" w:lineRule="exact"/>
      </w:pPr>
      <w:r>
        <w:rPr>
          <w:rFonts w:hint="eastAsia"/>
        </w:rPr>
        <w:br w:type="page"/>
      </w:r>
      <w:bookmarkEnd w:id="339"/>
      <w:bookmarkEnd w:id="340"/>
      <w:bookmarkEnd w:id="341"/>
      <w:bookmarkEnd w:id="342"/>
      <w:bookmarkEnd w:id="343"/>
      <w:bookmarkEnd w:id="344"/>
      <w:bookmarkEnd w:id="345"/>
    </w:p>
    <w:p>
      <w:pPr>
        <w:pStyle w:val="Heading2"/>
        <w:spacing w:line="400" w:lineRule="exact"/>
        <w:jc w:val="center"/>
      </w:pPr>
      <w:bookmarkStart w:id="392" w:name="_Toc18323"/>
      <w:bookmarkStart w:id="393" w:name="_Toc32200"/>
      <w:bookmarkStart w:id="394" w:name="_Toc25027"/>
      <w:bookmarkStart w:id="395" w:name="_Toc28970"/>
      <w:bookmarkStart w:id="396" w:name="_Toc28152"/>
      <w:bookmarkStart w:id="397" w:name="_Toc256000074"/>
      <w:r>
        <w:t>格式</w:t>
      </w:r>
      <w:r>
        <w:rPr>
          <w:rFonts w:hint="eastAsia"/>
        </w:rPr>
        <w:t>1</w:t>
      </w:r>
      <w:r>
        <w:rPr>
          <w:rFonts w:hint="eastAsia"/>
          <w:lang w:val="en-US" w:eastAsia="zh-CN"/>
        </w:rPr>
        <w:t>1</w:t>
      </w:r>
      <w:r>
        <w:t>：</w:t>
      </w:r>
      <w:r>
        <w:rPr>
          <w:rFonts w:hint="eastAsia"/>
        </w:rPr>
        <w:t>同类业绩一览表</w:t>
      </w:r>
      <w:bookmarkEnd w:id="397"/>
      <w:bookmarkEnd w:id="392"/>
      <w:bookmarkEnd w:id="393"/>
      <w:bookmarkEnd w:id="394"/>
      <w:bookmarkEnd w:id="395"/>
      <w:bookmarkEnd w:id="396"/>
    </w:p>
    <w:p>
      <w:pPr>
        <w:spacing w:line="400" w:lineRule="exact"/>
        <w:jc w:val="center"/>
      </w:pPr>
    </w:p>
    <w:tbl>
      <w:tblPr>
        <w:tblStyle w:val="TableNormal"/>
        <w:tblW w:w="8791" w:type="dxa"/>
        <w:tblInd w:w="0" w:type="dxa"/>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Pr>
      <w:tblGrid>
        <w:gridCol w:w="743"/>
        <w:gridCol w:w="1873"/>
        <w:gridCol w:w="1522"/>
        <w:gridCol w:w="1063"/>
        <w:gridCol w:w="1095"/>
        <w:gridCol w:w="2495"/>
      </w:tblGrid>
      <w:tr>
        <w:tblPrEx>
          <w:tblW w:w="8791" w:type="dxa"/>
          <w:tblInd w:w="0" w:type="dxa"/>
          <w:tblBorders>
            <w:top w:val="single" w:sz="4" w:space="0" w:color="auto"/>
            <w:left w:val="single" w:sz="4" w:space="0" w:color="auto"/>
            <w:bottom w:val="single" w:sz="4" w:space="0" w:color="auto"/>
            <w:right w:val="single" w:sz="4" w:space="0" w:color="auto"/>
            <w:insideH w:val="nil"/>
            <w:insideV w:val="nil"/>
          </w:tblBorders>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r>
              <w:rPr>
                <w:rFonts w:hint="eastAsia"/>
              </w:rPr>
              <w:t>序号</w:t>
            </w: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r>
              <w:rPr>
                <w:rFonts w:hint="eastAsia"/>
              </w:rPr>
              <w:t>项目名称</w:t>
            </w: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r>
              <w:rPr>
                <w:rFonts w:hint="eastAsia"/>
              </w:rPr>
              <w:t>采购单位</w:t>
            </w: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r>
              <w:rPr>
                <w:rFonts w:hint="eastAsia"/>
              </w:rPr>
              <w:t>合同金额</w:t>
            </w: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r>
              <w:rPr>
                <w:rFonts w:hint="eastAsia"/>
                <w:lang w:val="en-US" w:eastAsia="zh-CN"/>
              </w:rPr>
              <w:t>签订</w:t>
            </w:r>
            <w:r>
              <w:rPr>
                <w:rFonts w:hint="eastAsia"/>
              </w:rPr>
              <w:t>时间</w:t>
            </w: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r>
              <w:rPr>
                <w:rFonts w:hint="eastAsia"/>
              </w:rPr>
              <w:t>采购单位联系人及电话</w:t>
            </w:r>
          </w:p>
        </w:tc>
      </w:tr>
      <w:tr>
        <w:tblPrEx>
          <w:tblW w:w="8791" w:type="dxa"/>
          <w:tblInd w:w="0" w:type="dxa"/>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p>
        </w:tc>
      </w:tr>
      <w:tr>
        <w:tblPrEx>
          <w:tblW w:w="8791" w:type="dxa"/>
          <w:tblInd w:w="0" w:type="dxa"/>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p>
        </w:tc>
      </w:tr>
      <w:tr>
        <w:tblPrEx>
          <w:tblW w:w="8791" w:type="dxa"/>
          <w:tblInd w:w="0" w:type="dxa"/>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p>
        </w:tc>
      </w:tr>
      <w:tr>
        <w:tblPrEx>
          <w:tblW w:w="8791" w:type="dxa"/>
          <w:tblInd w:w="0" w:type="dxa"/>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p>
        </w:tc>
      </w:tr>
      <w:tr>
        <w:tblPrEx>
          <w:tblW w:w="8791" w:type="dxa"/>
          <w:tblInd w:w="0" w:type="dxa"/>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p>
        </w:tc>
      </w:tr>
      <w:tr>
        <w:tblPrEx>
          <w:tblW w:w="8791" w:type="dxa"/>
          <w:tblInd w:w="0" w:type="dxa"/>
          <w:tblLayout w:type="fixed"/>
          <w:tblCellMar>
            <w:top w:w="0" w:type="dxa"/>
            <w:left w:w="108" w:type="dxa"/>
            <w:bottom w:w="0" w:type="dxa"/>
            <w:right w:w="108" w:type="dxa"/>
          </w:tblCellMar>
        </w:tblPrEx>
        <w:tc>
          <w:tcPr>
            <w:tcW w:w="743" w:type="dxa"/>
            <w:tcBorders>
              <w:top w:val="single" w:sz="6" w:space="0" w:color="auto"/>
              <w:left w:val="single" w:sz="6" w:space="0" w:color="auto"/>
              <w:bottom w:val="single" w:sz="6" w:space="0" w:color="auto"/>
              <w:right w:val="single" w:sz="6" w:space="0" w:color="auto"/>
            </w:tcBorders>
          </w:tcPr>
          <w:p>
            <w:pPr>
              <w:spacing w:line="400" w:lineRule="exact"/>
            </w:pPr>
          </w:p>
        </w:tc>
        <w:tc>
          <w:tcPr>
            <w:tcW w:w="1873" w:type="dxa"/>
            <w:tcBorders>
              <w:top w:val="single" w:sz="6" w:space="0" w:color="auto"/>
              <w:left w:val="single" w:sz="6" w:space="0" w:color="auto"/>
              <w:bottom w:val="single" w:sz="6" w:space="0" w:color="auto"/>
              <w:right w:val="single" w:sz="6" w:space="0" w:color="auto"/>
            </w:tcBorders>
          </w:tcPr>
          <w:p>
            <w:pPr>
              <w:spacing w:line="400" w:lineRule="exact"/>
            </w:pPr>
          </w:p>
        </w:tc>
        <w:tc>
          <w:tcPr>
            <w:tcW w:w="1522" w:type="dxa"/>
            <w:tcBorders>
              <w:top w:val="single" w:sz="6" w:space="0" w:color="auto"/>
              <w:left w:val="single" w:sz="6" w:space="0" w:color="auto"/>
              <w:bottom w:val="single" w:sz="6" w:space="0" w:color="auto"/>
              <w:right w:val="single" w:sz="6" w:space="0" w:color="auto"/>
            </w:tcBorders>
          </w:tcPr>
          <w:p>
            <w:pPr>
              <w:spacing w:line="400" w:lineRule="exact"/>
            </w:pPr>
          </w:p>
        </w:tc>
        <w:tc>
          <w:tcPr>
            <w:tcW w:w="1063" w:type="dxa"/>
            <w:tcBorders>
              <w:top w:val="single" w:sz="6" w:space="0" w:color="auto"/>
              <w:left w:val="single" w:sz="6" w:space="0" w:color="auto"/>
              <w:bottom w:val="single" w:sz="6" w:space="0" w:color="auto"/>
              <w:right w:val="single" w:sz="6" w:space="0" w:color="auto"/>
            </w:tcBorders>
          </w:tcPr>
          <w:p>
            <w:pPr>
              <w:spacing w:line="400" w:lineRule="exact"/>
            </w:pPr>
          </w:p>
        </w:tc>
        <w:tc>
          <w:tcPr>
            <w:tcW w:w="1095" w:type="dxa"/>
            <w:tcBorders>
              <w:top w:val="single" w:sz="6" w:space="0" w:color="auto"/>
              <w:left w:val="single" w:sz="6" w:space="0" w:color="auto"/>
              <w:bottom w:val="single" w:sz="6" w:space="0" w:color="auto"/>
              <w:right w:val="single" w:sz="6" w:space="0" w:color="auto"/>
            </w:tcBorders>
          </w:tcPr>
          <w:p>
            <w:pPr>
              <w:spacing w:line="400" w:lineRule="exact"/>
            </w:pPr>
          </w:p>
        </w:tc>
        <w:tc>
          <w:tcPr>
            <w:tcW w:w="2495" w:type="dxa"/>
            <w:tcBorders>
              <w:top w:val="single" w:sz="6" w:space="0" w:color="auto"/>
              <w:left w:val="single" w:sz="6" w:space="0" w:color="auto"/>
              <w:bottom w:val="single" w:sz="6" w:space="0" w:color="auto"/>
              <w:right w:val="single" w:sz="6" w:space="0" w:color="auto"/>
            </w:tcBorders>
          </w:tcPr>
          <w:p>
            <w:pPr>
              <w:spacing w:line="400" w:lineRule="exact"/>
            </w:pPr>
          </w:p>
        </w:tc>
      </w:tr>
    </w:tbl>
    <w:p>
      <w:pPr>
        <w:spacing w:line="400" w:lineRule="exact"/>
      </w:pPr>
    </w:p>
    <w:p>
      <w:pPr>
        <w:pStyle w:val="BodyText"/>
      </w:pPr>
      <w:r>
        <w:rPr>
          <w:rFonts w:hint="eastAsia"/>
        </w:rPr>
        <w:t>注：该表格式仅作参考，详细表格格式可自定。</w:t>
      </w:r>
    </w:p>
    <w:p>
      <w:pPr>
        <w:spacing w:line="400" w:lineRule="exact"/>
      </w:pPr>
    </w:p>
    <w:p>
      <w:pPr>
        <w:spacing w:line="400" w:lineRule="exact"/>
      </w:pPr>
      <w:r>
        <w:rPr>
          <w:rFonts w:hint="eastAsia"/>
        </w:rPr>
        <w:t xml:space="preserve">投标人名称： </w:t>
      </w:r>
    </w:p>
    <w:p>
      <w:pPr>
        <w:spacing w:line="400" w:lineRule="exact"/>
      </w:pPr>
      <w:r>
        <w:rPr>
          <w:rFonts w:hint="eastAsia"/>
        </w:rPr>
        <w:t xml:space="preserve">法定代表人（单位负责人）或委托代理人： </w:t>
      </w:r>
    </w:p>
    <w:p>
      <w:pPr>
        <w:spacing w:line="400" w:lineRule="exact"/>
      </w:pPr>
      <w:r>
        <w:rPr>
          <w:rFonts w:hint="eastAsia"/>
        </w:rPr>
        <w:t>日期：   年   月   日</w:t>
      </w:r>
    </w:p>
    <w:p>
      <w:pPr>
        <w:spacing w:line="400" w:lineRule="exact"/>
      </w:pPr>
      <w:r>
        <w:rPr>
          <w:rFonts w:hint="eastAsia"/>
        </w:rPr>
        <w:br w:type="page"/>
      </w:r>
    </w:p>
    <w:p>
      <w:bookmarkStart w:id="398" w:name="_Toc16299"/>
      <w:bookmarkStart w:id="399" w:name="_Toc13345"/>
      <w:bookmarkStart w:id="400" w:name="_Toc2990"/>
    </w:p>
    <w:p>
      <w:pPr>
        <w:jc w:val="center"/>
        <w:outlineLvl w:val="1"/>
        <w:rPr>
          <w:rFonts w:eastAsia="宋体" w:hint="default"/>
          <w:b/>
          <w:bCs/>
          <w:sz w:val="32"/>
          <w:szCs w:val="32"/>
          <w:lang w:val="en-US" w:eastAsia="zh-CN"/>
        </w:rPr>
      </w:pPr>
      <w:bookmarkStart w:id="401" w:name="_Toc20919"/>
      <w:bookmarkStart w:id="402" w:name="_Toc22179"/>
      <w:bookmarkStart w:id="403" w:name="_Toc256000075"/>
      <w:r>
        <w:rPr>
          <w:b/>
          <w:bCs/>
          <w:sz w:val="32"/>
          <w:szCs w:val="32"/>
        </w:rPr>
        <w:t>格式1</w:t>
      </w:r>
      <w:r>
        <w:rPr>
          <w:rFonts w:hint="eastAsia"/>
          <w:b/>
          <w:bCs/>
          <w:sz w:val="32"/>
          <w:szCs w:val="32"/>
          <w:lang w:val="en-US" w:eastAsia="zh-CN"/>
        </w:rPr>
        <w:t>2</w:t>
      </w:r>
      <w:r>
        <w:rPr>
          <w:b/>
          <w:bCs/>
          <w:sz w:val="32"/>
          <w:szCs w:val="32"/>
        </w:rPr>
        <w:t>：</w:t>
      </w:r>
      <w:bookmarkEnd w:id="398"/>
      <w:bookmarkEnd w:id="399"/>
      <w:bookmarkEnd w:id="400"/>
      <w:bookmarkEnd w:id="401"/>
      <w:r>
        <w:rPr>
          <w:rFonts w:hint="eastAsia"/>
          <w:b/>
          <w:bCs/>
          <w:sz w:val="32"/>
          <w:szCs w:val="32"/>
          <w:lang w:val="en-US" w:eastAsia="zh-CN"/>
        </w:rPr>
        <w:t>中小企业声明函</w:t>
      </w:r>
      <w:bookmarkEnd w:id="403"/>
      <w:bookmarkEnd w:id="402"/>
    </w:p>
    <w:p>
      <w:pPr>
        <w:jc w:val="center"/>
        <w:outlineLvl w:val="9"/>
        <w:rPr>
          <w:rFonts w:eastAsia="宋体" w:hint="eastAsia"/>
          <w:b/>
          <w:bCs/>
          <w:snapToGrid w:val="0"/>
          <w:color w:val="000000"/>
          <w:sz w:val="32"/>
          <w:szCs w:val="32"/>
          <w:lang w:eastAsia="zh-CN"/>
        </w:rPr>
      </w:pPr>
    </w:p>
    <w:p>
      <w:pPr>
        <w:keepNext/>
        <w:keepLines/>
        <w:widowControl w:val="0"/>
        <w:spacing w:before="280" w:after="290" w:line="376" w:lineRule="auto"/>
        <w:ind w:firstLine="420" w:firstLineChars="200"/>
        <w:jc w:val="center"/>
        <w:outlineLvl w:val="2"/>
        <w:rPr>
          <w:rFonts w:ascii="黑体" w:eastAsia="黑体" w:hAnsi="黑体" w:cs="黑体" w:hint="eastAsia"/>
          <w:b/>
          <w:bCs/>
          <w:kern w:val="2"/>
          <w:sz w:val="28"/>
          <w:szCs w:val="28"/>
          <w:lang w:eastAsia="zh-CN"/>
        </w:rPr>
      </w:pPr>
      <w:bookmarkStart w:id="404" w:name="_Toc15544"/>
      <w:bookmarkStart w:id="405" w:name="_Toc256000076"/>
      <w:r>
        <w:rPr>
          <w:rFonts w:ascii="黑体" w:eastAsia="黑体" w:hAnsi="黑体" w:cs="黑体" w:hint="eastAsia"/>
          <w:b/>
          <w:bCs/>
          <w:kern w:val="2"/>
          <w:sz w:val="28"/>
          <w:szCs w:val="28"/>
          <w:lang w:eastAsia="zh-CN"/>
        </w:rPr>
        <w:t>本项目不属于专门面向中小微企业采购的项目</w:t>
      </w:r>
      <w:bookmarkEnd w:id="405"/>
      <w:bookmarkEnd w:id="404"/>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填写指引：</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2、该部分内容填写需要参考的相关文件：</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（1）财政部《政府采购促进中小企业发展管理办法》（财库〔2020〕46号）；</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（2）《工业和信息化部、国家统计局、国家发展和改革委员会、财政部关于印发中小企业划型标准规定的通知》（工信部联企业〔2011〕300 号，以下简称300号文）；</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（3）《统计上大中小微型企业划分办法（2017）》（国统字〔2017〕213 号）；</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（4）《关于促进残疾人就业政府采购政策的通知》（财库〔2017〕141号）；</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（5）《关于政府采购支持监狱企业发展有关问题的通知》（财库〔2014〕68号）</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3、请依照提供的格式和内容填写声明函，不要随意变更格式；声明函不需要盖章或签字；满足多项优惠政策的投标人，不重复享受多项价格扣除政策。</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4、声明函具体填写要求：</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（1）声明是中小企业须填写《中小企业声明函》的以下内容：</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第一处，在“单位名称”下划线处如实填写采购人名称（深圳龙达招标有限公司不是本项目的采购人，而是组织实施机构）；</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第二处，在“项目名称”下划线处如实填写采购项目名称；</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第三处，在“标的名称”下划线处填写所采购服务（标的）的具体名称（以招标文件用户需求书“采购清单”的“服务名称（标的名称）”一栏为准）；如果涉及多项服务（标的）为同一企业承接或制造，“标的名称”下划线处可以如实填写多项服务；</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第四处，在“招标文件中明确的所属行业”下划线处填写采购标的对应的中小企业划分标准所属行业（所属行业可在招标文件第一册第二章“对通用条款的补充内容及其他关键信息”章节内查看）；</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第五处，在“企业名称”下划线处如实填写制造商（或承接商）名称；在“从业人员”“营业收入”“资产总额”下划线处如实填写从业人员、营业收入、资产总额；在“中型企业、小型企业、微型企业”下划线处如实依照300号文填写相应的企业类型；从业人员、营业收入、资产总额填报上一年度数据，无上一年度数据的新成立企业可以不填报。《中小企业声明函》中承接单位所属行业应当与招标文件要求的行业相一致，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（2）声明是残疾人福利性单位须填写《残疾人福利性单位声明函》的相关内容，具体参照以上《中小企业声明函》填写要求执行。</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（3）声明是监狱企业须填写《监狱企业声明函》的三项内容（填写位置的字体已加粗），具体参照以上《中小企业声明函》填写要求执行。</w:t>
      </w:r>
    </w:p>
    <w:p>
      <w:pPr>
        <w:kinsoku w:val="0"/>
        <w:autoSpaceDE w:val="0"/>
        <w:autoSpaceDN w:val="0"/>
        <w:adjustRightInd w:val="0"/>
        <w:snapToGrid w:val="0"/>
        <w:spacing w:line="400" w:lineRule="exact"/>
        <w:ind w:firstLine="420" w:firstLineChars="200"/>
        <w:textAlignment w:val="baseline"/>
        <w:rPr>
          <w:rFonts w:ascii="Calibri" w:eastAsia="宋体" w:hAnsi="Calibri"/>
          <w:kern w:val="2"/>
          <w:sz w:val="21"/>
          <w:szCs w:val="22"/>
          <w:lang w:eastAsia="zh-CN"/>
        </w:rPr>
      </w:pPr>
      <w:r>
        <w:rPr>
          <w:rFonts w:ascii="Calibri" w:eastAsia="宋体" w:hAnsi="Calibri" w:cstheme="minorBidi" w:hint="eastAsia"/>
          <w:kern w:val="2"/>
          <w:sz w:val="21"/>
          <w:szCs w:val="22"/>
          <w:lang w:eastAsia="zh-CN"/>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kinsoku w:val="0"/>
        <w:autoSpaceDE w:val="0"/>
        <w:autoSpaceDN w:val="0"/>
        <w:adjustRightInd w:val="0"/>
        <w:snapToGrid w:val="0"/>
        <w:spacing w:line="400" w:lineRule="exact"/>
        <w:ind w:firstLine="420" w:firstLineChars="200"/>
        <w:textAlignment w:val="baseline"/>
        <w:rPr>
          <w:rFonts w:ascii="Arial" w:eastAsia="宋体" w:hAnsi="Arial" w:cs="Arial"/>
          <w:snapToGrid w:val="0"/>
          <w:color w:val="000000"/>
          <w:sz w:val="21"/>
          <w:szCs w:val="21"/>
          <w:lang w:eastAsia="zh-CN"/>
        </w:rPr>
      </w:pPr>
    </w:p>
    <w:p>
      <w:pPr>
        <w:kinsoku w:val="0"/>
        <w:autoSpaceDE w:val="0"/>
        <w:autoSpaceDN w:val="0"/>
        <w:adjustRightInd w:val="0"/>
        <w:snapToGrid w:val="0"/>
        <w:textAlignment w:val="baseline"/>
        <w:rPr>
          <w:rFonts w:ascii="Arial" w:eastAsia="宋体" w:hAnsi="Arial" w:cs="Arial"/>
          <w:b/>
          <w:bCs/>
          <w:snapToGrid w:val="0"/>
          <w:color w:val="000000"/>
          <w:sz w:val="21"/>
          <w:szCs w:val="21"/>
          <w:lang w:eastAsia="zh-CN"/>
        </w:rPr>
      </w:pPr>
      <w:r>
        <w:rPr>
          <w:rFonts w:ascii="Arial" w:eastAsia="宋体" w:hAnsi="Arial" w:cs="Arial"/>
          <w:b/>
          <w:bCs/>
          <w:snapToGrid w:val="0"/>
          <w:color w:val="000000"/>
          <w:sz w:val="21"/>
          <w:szCs w:val="21"/>
          <w:lang w:eastAsia="zh-CN"/>
        </w:rPr>
        <w:br w:type="page"/>
      </w:r>
    </w:p>
    <w:p>
      <w:pPr>
        <w:keepNext/>
        <w:keepLines/>
        <w:widowControl w:val="0"/>
        <w:spacing w:before="280" w:after="290" w:line="376" w:lineRule="auto"/>
        <w:ind w:firstLine="420" w:firstLineChars="200"/>
        <w:jc w:val="center"/>
        <w:outlineLvl w:val="2"/>
        <w:rPr>
          <w:rFonts w:eastAsia="宋体"/>
          <w:snapToGrid w:val="0"/>
          <w:color w:val="000000"/>
          <w:sz w:val="21"/>
          <w:szCs w:val="21"/>
          <w:lang w:eastAsia="zh-CN"/>
        </w:rPr>
      </w:pPr>
      <w:bookmarkStart w:id="406" w:name="_Toc30360"/>
      <w:bookmarkStart w:id="407" w:name="_Toc1898"/>
      <w:bookmarkStart w:id="408" w:name="_Toc256000077"/>
      <w:r>
        <w:rPr>
          <w:rFonts w:ascii="黑体" w:eastAsia="黑体" w:hAnsi="黑体" w:cs="黑体" w:hint="eastAsia"/>
          <w:b/>
          <w:bCs/>
          <w:kern w:val="2"/>
          <w:sz w:val="28"/>
          <w:szCs w:val="28"/>
          <w:lang w:eastAsia="zh-CN"/>
        </w:rPr>
        <w:t>（1）中小企业声明函（</w:t>
      </w:r>
      <w:r>
        <w:rPr>
          <w:rFonts w:ascii="黑体" w:eastAsia="黑体" w:hAnsi="黑体" w:cs="黑体" w:hint="eastAsia"/>
          <w:b/>
          <w:bCs/>
          <w:kern w:val="2"/>
          <w:sz w:val="28"/>
          <w:szCs w:val="28"/>
          <w:lang w:val="en-US" w:eastAsia="zh-CN"/>
        </w:rPr>
        <w:t>服务</w:t>
      </w:r>
      <w:r>
        <w:rPr>
          <w:rFonts w:ascii="黑体" w:eastAsia="黑体" w:hAnsi="黑体" w:cs="黑体" w:hint="eastAsia"/>
          <w:b/>
          <w:bCs/>
          <w:kern w:val="2"/>
          <w:sz w:val="28"/>
          <w:szCs w:val="28"/>
          <w:lang w:eastAsia="zh-CN"/>
        </w:rPr>
        <w:t>类）</w:t>
      </w:r>
      <w:bookmarkEnd w:id="408"/>
      <w:bookmarkEnd w:id="406"/>
      <w:bookmarkEnd w:id="407"/>
    </w:p>
    <w:p>
      <w:pPr>
        <w:kinsoku w:val="0"/>
        <w:autoSpaceDE w:val="0"/>
        <w:autoSpaceDN w:val="0"/>
        <w:adjustRightInd w:val="0"/>
        <w:snapToGrid w:val="0"/>
        <w:spacing w:line="400" w:lineRule="exact"/>
        <w:ind w:firstLine="420" w:firstLineChars="200"/>
        <w:textAlignment w:val="baseline"/>
        <w:rPr>
          <w:rFonts w:eastAsia="宋体" w:hint="eastAsia"/>
          <w:snapToGrid w:val="0"/>
          <w:color w:val="000000"/>
          <w:sz w:val="21"/>
          <w:szCs w:val="21"/>
          <w:lang w:eastAsia="zh-CN"/>
        </w:rPr>
      </w:pPr>
      <w:r>
        <w:rPr>
          <w:rFonts w:eastAsia="宋体" w:hint="eastAsia"/>
          <w:snapToGrid w:val="0"/>
          <w:color w:val="000000"/>
          <w:sz w:val="21"/>
          <w:szCs w:val="21"/>
          <w:lang w:eastAsia="zh-CN"/>
        </w:rPr>
        <w:t>本公司（联合体）郑重声明，根据《政府采购促进中小企业发展管理办法》（财库﹝</w:t>
      </w:r>
      <w:r>
        <w:rPr>
          <w:rFonts w:eastAsia="宋体"/>
          <w:snapToGrid w:val="0"/>
          <w:color w:val="000000"/>
          <w:sz w:val="21"/>
          <w:szCs w:val="21"/>
          <w:lang w:eastAsia="zh-CN"/>
        </w:rPr>
        <w:t>2020</w:t>
      </w:r>
      <w:r>
        <w:rPr>
          <w:rFonts w:eastAsia="宋体" w:hint="eastAsia"/>
          <w:snapToGrid w:val="0"/>
          <w:color w:val="000000"/>
          <w:sz w:val="21"/>
          <w:szCs w:val="21"/>
          <w:lang w:eastAsia="zh-CN"/>
        </w:rPr>
        <w:t>﹞</w:t>
      </w:r>
      <w:r>
        <w:rPr>
          <w:rFonts w:eastAsia="宋体"/>
          <w:snapToGrid w:val="0"/>
          <w:color w:val="000000"/>
          <w:sz w:val="21"/>
          <w:szCs w:val="21"/>
          <w:lang w:eastAsia="zh-CN"/>
        </w:rPr>
        <w:t>46</w:t>
      </w:r>
      <w:r>
        <w:rPr>
          <w:rFonts w:eastAsia="宋体" w:hint="eastAsia"/>
          <w:snapToGrid w:val="0"/>
          <w:color w:val="000000"/>
          <w:sz w:val="21"/>
          <w:szCs w:val="21"/>
          <w:lang w:eastAsia="zh-CN"/>
        </w:rPr>
        <w:t>号）的规定，本公司（联合体）参加</w:t>
      </w:r>
      <w:r>
        <w:rPr>
          <w:rFonts w:eastAsia="宋体"/>
          <w:b/>
          <w:bCs/>
          <w:i/>
          <w:iCs/>
          <w:snapToGrid w:val="0"/>
          <w:color w:val="000000"/>
          <w:sz w:val="21"/>
          <w:szCs w:val="21"/>
          <w:u w:val="single"/>
          <w:lang w:eastAsia="zh-CN"/>
        </w:rPr>
        <w:t xml:space="preserve"> </w:t>
      </w:r>
      <w:r>
        <w:rPr>
          <w:rFonts w:eastAsia="宋体" w:hint="eastAsia"/>
          <w:b/>
          <w:bCs/>
          <w:i/>
          <w:iCs/>
          <w:snapToGrid w:val="0"/>
          <w:color w:val="000000"/>
          <w:sz w:val="21"/>
          <w:szCs w:val="21"/>
          <w:u w:val="single"/>
          <w:lang w:eastAsia="zh-CN"/>
        </w:rPr>
        <w:t>南</w:t>
      </w:r>
      <w:r>
        <w:rPr>
          <w:rFonts w:eastAsia="宋体" w:hint="eastAsia"/>
          <w:b/>
          <w:bCs/>
          <w:i w:val="0"/>
          <w:iCs w:val="0"/>
          <w:snapToGrid w:val="0"/>
          <w:color w:val="000000"/>
          <w:sz w:val="21"/>
          <w:szCs w:val="21"/>
          <w:u w:val="single"/>
          <w:lang w:eastAsia="zh-CN"/>
        </w:rPr>
        <w:t>方医科大学深圳坪山医院</w:t>
      </w:r>
      <w:r>
        <w:rPr>
          <w:rFonts w:hint="eastAsia"/>
          <w:b/>
          <w:bCs/>
          <w:i w:val="0"/>
          <w:iCs w:val="0"/>
          <w:snapToGrid w:val="0"/>
          <w:color w:val="000000"/>
          <w:sz w:val="21"/>
          <w:szCs w:val="21"/>
          <w:u w:val="single"/>
          <w:lang w:eastAsia="zh-CN"/>
        </w:rPr>
        <w:t>（深圳市坪山区人民医院）</w:t>
      </w:r>
      <w:r>
        <w:rPr>
          <w:rFonts w:eastAsia="宋体"/>
          <w:b/>
          <w:bCs/>
          <w:i w:val="0"/>
          <w:iCs w:val="0"/>
          <w:snapToGrid w:val="0"/>
          <w:color w:val="000000"/>
          <w:sz w:val="21"/>
          <w:szCs w:val="21"/>
          <w:u w:val="single"/>
          <w:lang w:eastAsia="zh-CN"/>
        </w:rPr>
        <w:t xml:space="preserve"> </w:t>
      </w:r>
      <w:r>
        <w:rPr>
          <w:rFonts w:eastAsia="宋体" w:hint="eastAsia"/>
          <w:i w:val="0"/>
          <w:iCs w:val="0"/>
          <w:snapToGrid w:val="0"/>
          <w:color w:val="000000"/>
          <w:sz w:val="21"/>
          <w:szCs w:val="21"/>
          <w:lang w:eastAsia="zh-CN"/>
        </w:rPr>
        <w:t>的</w:t>
      </w:r>
      <w:r>
        <w:rPr>
          <w:rFonts w:eastAsia="宋体"/>
          <w:b/>
          <w:bCs/>
          <w:i w:val="0"/>
          <w:iCs w:val="0"/>
          <w:snapToGrid w:val="0"/>
          <w:color w:val="000000"/>
          <w:sz w:val="21"/>
          <w:szCs w:val="21"/>
          <w:u w:val="single"/>
          <w:lang w:eastAsia="zh-CN"/>
        </w:rPr>
        <w:t xml:space="preserve"> </w:t>
      </w:r>
      <w:r>
        <w:rPr>
          <w:rFonts w:hint="eastAsia"/>
          <w:b/>
          <w:bCs/>
          <w:i w:val="0"/>
          <w:iCs w:val="0"/>
          <w:snapToGrid w:val="0"/>
          <w:color w:val="000000"/>
          <w:sz w:val="21"/>
          <w:szCs w:val="21"/>
          <w:u w:val="single"/>
          <w:lang w:eastAsia="zh-CN"/>
        </w:rPr>
        <w:t>南方医科大学深圳坪山医院（深圳市坪山区人民医院）新院区空气检测及除甲醛（</w:t>
      </w:r>
      <w:r>
        <w:rPr>
          <w:rFonts w:hint="eastAsia"/>
          <w:b/>
          <w:bCs/>
          <w:i w:val="0"/>
          <w:iCs w:val="0"/>
          <w:snapToGrid w:val="0"/>
          <w:color w:val="000000"/>
          <w:sz w:val="21"/>
          <w:szCs w:val="21"/>
          <w:u w:val="single"/>
          <w:lang w:val="en-US" w:eastAsia="zh-CN"/>
        </w:rPr>
        <w:t>A包：空气检测项目</w:t>
      </w:r>
      <w:r>
        <w:rPr>
          <w:rFonts w:hint="eastAsia"/>
          <w:b/>
          <w:bCs/>
          <w:i w:val="0"/>
          <w:iCs w:val="0"/>
          <w:snapToGrid w:val="0"/>
          <w:color w:val="000000"/>
          <w:sz w:val="21"/>
          <w:szCs w:val="21"/>
          <w:u w:val="single"/>
          <w:lang w:eastAsia="zh-CN"/>
        </w:rPr>
        <w:t>）</w:t>
      </w:r>
      <w:r>
        <w:rPr>
          <w:rFonts w:eastAsia="宋体"/>
          <w:b/>
          <w:bCs/>
          <w:i w:val="0"/>
          <w:iCs w:val="0"/>
          <w:snapToGrid w:val="0"/>
          <w:color w:val="000000"/>
          <w:sz w:val="21"/>
          <w:szCs w:val="21"/>
          <w:u w:val="single"/>
          <w:lang w:eastAsia="zh-CN"/>
        </w:rPr>
        <w:t xml:space="preserve"> </w:t>
      </w:r>
      <w:r>
        <w:rPr>
          <w:rFonts w:eastAsia="宋体" w:hint="eastAsia"/>
          <w:snapToGrid w:val="0"/>
          <w:color w:val="000000"/>
          <w:sz w:val="21"/>
          <w:szCs w:val="21"/>
          <w:lang w:eastAsia="zh-CN"/>
        </w:rPr>
        <w:t>采购活动，提供的服务全部由符合政策要求的中小企业承接。相关企业（含联合体中的中小企业、签订分包意向协议的中小企业）的具体情况如下：</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1.</w:t>
      </w:r>
      <w:r>
        <w:rPr>
          <w:rFonts w:eastAsia="宋体"/>
          <w:b/>
          <w:bCs/>
          <w:i/>
          <w:iCs/>
          <w:snapToGrid w:val="0"/>
          <w:color w:val="000000"/>
          <w:sz w:val="21"/>
          <w:szCs w:val="21"/>
          <w:u w:val="single"/>
          <w:lang w:eastAsia="zh-CN"/>
        </w:rPr>
        <w:t xml:space="preserve">    </w:t>
      </w:r>
      <w:r>
        <w:rPr>
          <w:rFonts w:hint="eastAsia"/>
          <w:b/>
          <w:bCs/>
          <w:i w:val="0"/>
          <w:iCs w:val="0"/>
          <w:snapToGrid w:val="0"/>
          <w:color w:val="000000"/>
          <w:sz w:val="21"/>
          <w:szCs w:val="21"/>
          <w:u w:val="single"/>
          <w:lang w:eastAsia="zh-CN"/>
        </w:rPr>
        <w:t>南方医科大学深圳坪山医院（深圳市坪山区人民医院）新院区空气检测及除甲醛</w:t>
      </w:r>
      <w:r>
        <w:rPr>
          <w:rFonts w:eastAsia="宋体"/>
          <w:b/>
          <w:bCs/>
          <w:i w:val="0"/>
          <w:iCs w:val="0"/>
          <w:snapToGrid w:val="0"/>
          <w:color w:val="000000"/>
          <w:sz w:val="21"/>
          <w:szCs w:val="21"/>
          <w:u w:val="single"/>
          <w:lang w:eastAsia="zh-CN"/>
        </w:rPr>
        <w:t xml:space="preserve">  </w:t>
      </w:r>
      <w:r>
        <w:rPr>
          <w:rFonts w:hint="eastAsia"/>
          <w:b/>
          <w:bCs/>
          <w:i w:val="0"/>
          <w:iCs w:val="0"/>
          <w:snapToGrid w:val="0"/>
          <w:color w:val="000000"/>
          <w:sz w:val="21"/>
          <w:szCs w:val="21"/>
          <w:u w:val="single"/>
          <w:lang w:eastAsia="zh-CN"/>
        </w:rPr>
        <w:t>（</w:t>
      </w:r>
      <w:r>
        <w:rPr>
          <w:rFonts w:hint="eastAsia"/>
          <w:b/>
          <w:bCs/>
          <w:i w:val="0"/>
          <w:iCs w:val="0"/>
          <w:snapToGrid w:val="0"/>
          <w:color w:val="000000"/>
          <w:sz w:val="21"/>
          <w:szCs w:val="21"/>
          <w:u w:val="single"/>
          <w:lang w:val="en-US" w:eastAsia="zh-CN"/>
        </w:rPr>
        <w:t>A包：空气检测项目</w:t>
      </w:r>
      <w:r>
        <w:rPr>
          <w:rFonts w:hint="eastAsia"/>
          <w:b/>
          <w:bCs/>
          <w:i w:val="0"/>
          <w:iCs w:val="0"/>
          <w:snapToGrid w:val="0"/>
          <w:color w:val="000000"/>
          <w:sz w:val="21"/>
          <w:szCs w:val="21"/>
          <w:u w:val="single"/>
          <w:lang w:eastAsia="zh-CN"/>
        </w:rPr>
        <w:t>）</w:t>
      </w:r>
      <w:r>
        <w:rPr>
          <w:rFonts w:eastAsia="宋体"/>
          <w:b/>
          <w:bCs/>
          <w:i w:val="0"/>
          <w:iCs w:val="0"/>
          <w:snapToGrid w:val="0"/>
          <w:color w:val="000000"/>
          <w:sz w:val="21"/>
          <w:szCs w:val="21"/>
          <w:u w:val="single"/>
          <w:lang w:eastAsia="zh-CN"/>
        </w:rPr>
        <w:t xml:space="preserve"> </w:t>
      </w:r>
      <w:r>
        <w:rPr>
          <w:rFonts w:eastAsia="宋体" w:hint="eastAsia"/>
          <w:snapToGrid w:val="0"/>
          <w:color w:val="000000"/>
          <w:sz w:val="21"/>
          <w:szCs w:val="21"/>
          <w:lang w:eastAsia="zh-CN"/>
        </w:rPr>
        <w:t>，属于</w:t>
      </w:r>
      <w:r>
        <w:rPr>
          <w:rFonts w:eastAsia="宋体"/>
          <w:b/>
          <w:bCs/>
          <w:i/>
          <w:iCs/>
          <w:snapToGrid w:val="0"/>
          <w:color w:val="000000"/>
          <w:sz w:val="21"/>
          <w:szCs w:val="21"/>
          <w:u w:val="single"/>
          <w:lang w:eastAsia="zh-CN"/>
        </w:rPr>
        <w:t xml:space="preserve">    </w:t>
      </w:r>
      <w:r>
        <w:rPr>
          <w:rFonts w:eastAsia="宋体" w:hint="eastAsia"/>
          <w:b/>
          <w:bCs/>
          <w:i w:val="0"/>
          <w:iCs w:val="0"/>
          <w:snapToGrid w:val="0"/>
          <w:color w:val="000000"/>
          <w:sz w:val="21"/>
          <w:szCs w:val="21"/>
          <w:u w:val="single"/>
          <w:lang w:val="en-US" w:eastAsia="zh-CN"/>
        </w:rPr>
        <w:t>其他未列明行</w:t>
      </w:r>
      <w:r>
        <w:rPr>
          <w:rFonts w:eastAsia="宋体" w:hint="eastAsia"/>
          <w:b/>
          <w:bCs/>
          <w:i w:val="0"/>
          <w:iCs w:val="0"/>
          <w:snapToGrid w:val="0"/>
          <w:color w:val="000000"/>
          <w:sz w:val="21"/>
          <w:szCs w:val="21"/>
          <w:u w:val="single"/>
          <w:lang w:eastAsia="zh-CN"/>
        </w:rPr>
        <w:t>业</w:t>
      </w:r>
      <w:r>
        <w:rPr>
          <w:rFonts w:eastAsia="宋体"/>
          <w:b/>
          <w:bCs/>
          <w:i w:val="0"/>
          <w:iCs w:val="0"/>
          <w:snapToGrid w:val="0"/>
          <w:color w:val="000000"/>
          <w:sz w:val="21"/>
          <w:szCs w:val="21"/>
          <w:u w:val="single"/>
          <w:lang w:eastAsia="zh-CN"/>
        </w:rPr>
        <w:t xml:space="preserve"> </w:t>
      </w:r>
      <w:r>
        <w:rPr>
          <w:rFonts w:eastAsia="宋体"/>
          <w:b/>
          <w:bCs/>
          <w:i/>
          <w:iCs/>
          <w:snapToGrid w:val="0"/>
          <w:color w:val="000000"/>
          <w:sz w:val="21"/>
          <w:szCs w:val="21"/>
          <w:u w:val="single"/>
          <w:lang w:eastAsia="zh-CN"/>
        </w:rPr>
        <w:t xml:space="preserve">   </w:t>
      </w:r>
      <w:r>
        <w:rPr>
          <w:rFonts w:eastAsia="宋体" w:hint="eastAsia"/>
          <w:snapToGrid w:val="0"/>
          <w:color w:val="000000"/>
          <w:sz w:val="21"/>
          <w:szCs w:val="21"/>
          <w:lang w:eastAsia="zh-CN"/>
        </w:rPr>
        <w:t>行业；承接企业为</w:t>
      </w:r>
      <w:r>
        <w:rPr>
          <w:rFonts w:eastAsia="宋体"/>
          <w:b/>
          <w:bCs/>
          <w:i/>
          <w:iCs/>
          <w:snapToGrid w:val="0"/>
          <w:color w:val="000000"/>
          <w:sz w:val="21"/>
          <w:szCs w:val="21"/>
          <w:u w:val="single"/>
          <w:lang w:eastAsia="zh-CN"/>
        </w:rPr>
        <w:t xml:space="preserve">    </w:t>
      </w:r>
      <w:r>
        <w:rPr>
          <w:rFonts w:eastAsia="宋体" w:hint="eastAsia"/>
          <w:b/>
          <w:bCs/>
          <w:i/>
          <w:iCs/>
          <w:snapToGrid w:val="0"/>
          <w:color w:val="000000"/>
          <w:sz w:val="21"/>
          <w:szCs w:val="21"/>
          <w:u w:val="single"/>
          <w:lang w:eastAsia="zh-CN"/>
        </w:rPr>
        <w:t>（企业名称）</w:t>
      </w:r>
      <w:r>
        <w:rPr>
          <w:rFonts w:eastAsia="宋体"/>
          <w:b/>
          <w:bCs/>
          <w:i/>
          <w:iCs/>
          <w:snapToGrid w:val="0"/>
          <w:color w:val="000000"/>
          <w:sz w:val="21"/>
          <w:szCs w:val="21"/>
          <w:u w:val="single"/>
          <w:lang w:eastAsia="zh-CN"/>
        </w:rPr>
        <w:t xml:space="preserve">    </w:t>
      </w:r>
      <w:r>
        <w:rPr>
          <w:rFonts w:eastAsia="宋体" w:hint="eastAsia"/>
          <w:snapToGrid w:val="0"/>
          <w:color w:val="000000"/>
          <w:sz w:val="21"/>
          <w:szCs w:val="21"/>
          <w:lang w:eastAsia="zh-CN"/>
        </w:rPr>
        <w:t>，从业人员</w:t>
      </w:r>
      <w:r>
        <w:rPr>
          <w:rFonts w:eastAsia="宋体"/>
          <w:b/>
          <w:bCs/>
          <w:i/>
          <w:iCs/>
          <w:snapToGrid w:val="0"/>
          <w:color w:val="000000"/>
          <w:sz w:val="21"/>
          <w:szCs w:val="21"/>
          <w:u w:val="single"/>
          <w:lang w:eastAsia="zh-CN"/>
        </w:rPr>
        <w:t xml:space="preserve">        </w:t>
      </w:r>
      <w:r>
        <w:rPr>
          <w:rFonts w:eastAsia="宋体" w:hint="eastAsia"/>
          <w:snapToGrid w:val="0"/>
          <w:color w:val="000000"/>
          <w:sz w:val="21"/>
          <w:szCs w:val="21"/>
          <w:lang w:eastAsia="zh-CN"/>
        </w:rPr>
        <w:t>人，营业收入为</w:t>
      </w:r>
      <w:r>
        <w:rPr>
          <w:rFonts w:eastAsia="宋体"/>
          <w:b/>
          <w:bCs/>
          <w:i/>
          <w:iCs/>
          <w:snapToGrid w:val="0"/>
          <w:color w:val="000000"/>
          <w:sz w:val="21"/>
          <w:szCs w:val="21"/>
          <w:u w:val="single"/>
          <w:lang w:eastAsia="zh-CN"/>
        </w:rPr>
        <w:t xml:space="preserve">         </w:t>
      </w:r>
      <w:r>
        <w:rPr>
          <w:rFonts w:eastAsia="宋体" w:hint="eastAsia"/>
          <w:snapToGrid w:val="0"/>
          <w:color w:val="000000"/>
          <w:sz w:val="21"/>
          <w:szCs w:val="21"/>
          <w:lang w:eastAsia="zh-CN"/>
        </w:rPr>
        <w:t>万元，资产总额为</w:t>
      </w:r>
      <w:r>
        <w:rPr>
          <w:rFonts w:eastAsia="宋体"/>
          <w:b/>
          <w:bCs/>
          <w:i/>
          <w:iCs/>
          <w:snapToGrid w:val="0"/>
          <w:color w:val="000000"/>
          <w:sz w:val="21"/>
          <w:szCs w:val="21"/>
          <w:u w:val="single"/>
          <w:lang w:eastAsia="zh-CN"/>
        </w:rPr>
        <w:t xml:space="preserve">         </w:t>
      </w:r>
      <w:r>
        <w:rPr>
          <w:rFonts w:eastAsia="宋体" w:hint="eastAsia"/>
          <w:snapToGrid w:val="0"/>
          <w:color w:val="000000"/>
          <w:sz w:val="21"/>
          <w:szCs w:val="21"/>
          <w:lang w:eastAsia="zh-CN"/>
        </w:rPr>
        <w:t>万元，属于</w:t>
      </w:r>
      <w:r>
        <w:rPr>
          <w:rFonts w:eastAsia="宋体"/>
          <w:b/>
          <w:bCs/>
          <w:i/>
          <w:iCs/>
          <w:snapToGrid w:val="0"/>
          <w:color w:val="000000"/>
          <w:sz w:val="21"/>
          <w:szCs w:val="21"/>
          <w:u w:val="single"/>
          <w:lang w:eastAsia="zh-CN"/>
        </w:rPr>
        <w:t xml:space="preserve">    </w:t>
      </w:r>
      <w:r>
        <w:rPr>
          <w:rFonts w:eastAsia="宋体" w:hint="eastAsia"/>
          <w:b/>
          <w:bCs/>
          <w:i/>
          <w:iCs/>
          <w:snapToGrid w:val="0"/>
          <w:color w:val="000000"/>
          <w:sz w:val="21"/>
          <w:szCs w:val="21"/>
          <w:u w:val="single"/>
          <w:lang w:eastAsia="zh-CN"/>
        </w:rPr>
        <w:t>（中型企业、小型企业、微型企业）</w:t>
      </w:r>
      <w:r>
        <w:rPr>
          <w:rFonts w:eastAsia="宋体"/>
          <w:b/>
          <w:bCs/>
          <w:i/>
          <w:iCs/>
          <w:snapToGrid w:val="0"/>
          <w:color w:val="000000"/>
          <w:sz w:val="21"/>
          <w:szCs w:val="21"/>
          <w:u w:val="single"/>
          <w:lang w:eastAsia="zh-CN"/>
        </w:rPr>
        <w:t xml:space="preserve">    </w:t>
      </w:r>
      <w:r>
        <w:rPr>
          <w:rFonts w:eastAsia="宋体" w:hint="eastAsia"/>
          <w:b/>
          <w:bCs/>
          <w:i/>
          <w:iCs/>
          <w:snapToGrid w:val="0"/>
          <w:color w:val="000000"/>
          <w:sz w:val="21"/>
          <w:szCs w:val="21"/>
          <w:u w:val="single"/>
          <w:lang w:eastAsia="zh-CN"/>
        </w:rPr>
        <w:t>。</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hint="eastAsia"/>
          <w:snapToGrid w:val="0"/>
          <w:color w:val="000000"/>
          <w:sz w:val="21"/>
          <w:szCs w:val="21"/>
          <w:lang w:eastAsia="zh-CN"/>
        </w:rPr>
        <w:t>以上企业，不属于大企业的分支机构，不存在控股股东为大企业的情形，也不存在与大企业的负责人为同一人的情形。</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hint="eastAsia"/>
          <w:snapToGrid w:val="0"/>
          <w:color w:val="000000"/>
          <w:sz w:val="21"/>
          <w:szCs w:val="21"/>
          <w:lang w:eastAsia="zh-CN"/>
        </w:rPr>
        <w:t>本投标人对上述声明内容的真实性负责。如有虚假，将依法承担相应责任。</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hint="eastAsia"/>
          <w:snapToGrid w:val="0"/>
          <w:color w:val="000000"/>
          <w:sz w:val="21"/>
          <w:szCs w:val="21"/>
          <w:lang w:eastAsia="zh-CN"/>
        </w:rPr>
        <w:t>本投标人已知悉《政府采购促进中小企业发展管理办法》（财库〔</w:t>
      </w:r>
      <w:r>
        <w:rPr>
          <w:rFonts w:eastAsia="宋体"/>
          <w:snapToGrid w:val="0"/>
          <w:color w:val="000000"/>
          <w:sz w:val="21"/>
          <w:szCs w:val="21"/>
          <w:lang w:eastAsia="zh-CN"/>
        </w:rPr>
        <w:t>2020</w:t>
      </w:r>
      <w:r>
        <w:rPr>
          <w:rFonts w:eastAsia="宋体" w:hint="eastAsia"/>
          <w:snapToGrid w:val="0"/>
          <w:color w:val="000000"/>
          <w:sz w:val="21"/>
          <w:szCs w:val="21"/>
          <w:lang w:eastAsia="zh-CN"/>
        </w:rPr>
        <w:t>〕</w:t>
      </w:r>
      <w:r>
        <w:rPr>
          <w:rFonts w:eastAsia="宋体"/>
          <w:snapToGrid w:val="0"/>
          <w:color w:val="000000"/>
          <w:sz w:val="21"/>
          <w:szCs w:val="21"/>
          <w:lang w:eastAsia="zh-CN"/>
        </w:rPr>
        <w:t>46</w:t>
      </w:r>
      <w:r>
        <w:rPr>
          <w:rFonts w:eastAsia="宋体" w:hint="eastAsia"/>
          <w:snapToGrid w:val="0"/>
          <w:color w:val="000000"/>
          <w:sz w:val="21"/>
          <w:szCs w:val="21"/>
          <w:lang w:eastAsia="zh-CN"/>
        </w:rPr>
        <w:t>号）、《中小企业划型标准规定》（工信部联企〔</w:t>
      </w:r>
      <w:r>
        <w:rPr>
          <w:rFonts w:eastAsia="宋体"/>
          <w:snapToGrid w:val="0"/>
          <w:color w:val="000000"/>
          <w:sz w:val="21"/>
          <w:szCs w:val="21"/>
          <w:lang w:eastAsia="zh-CN"/>
        </w:rPr>
        <w:t>2011</w:t>
      </w:r>
      <w:r>
        <w:rPr>
          <w:rFonts w:eastAsia="宋体" w:hint="eastAsia"/>
          <w:snapToGrid w:val="0"/>
          <w:color w:val="000000"/>
          <w:sz w:val="21"/>
          <w:szCs w:val="21"/>
          <w:lang w:eastAsia="zh-CN"/>
        </w:rPr>
        <w:t>〕</w:t>
      </w:r>
      <w:r>
        <w:rPr>
          <w:rFonts w:eastAsia="宋体"/>
          <w:snapToGrid w:val="0"/>
          <w:color w:val="000000"/>
          <w:sz w:val="21"/>
          <w:szCs w:val="21"/>
          <w:lang w:eastAsia="zh-CN"/>
        </w:rPr>
        <w:t>300</w:t>
      </w:r>
      <w:r>
        <w:rPr>
          <w:rFonts w:eastAsia="宋体" w:hint="eastAsia"/>
          <w:snapToGrid w:val="0"/>
          <w:color w:val="000000"/>
          <w:sz w:val="21"/>
          <w:szCs w:val="21"/>
          <w:lang w:eastAsia="zh-CN"/>
        </w:rPr>
        <w:t>号）、《统计上大中小微型企业划分办法（</w:t>
      </w:r>
      <w:r>
        <w:rPr>
          <w:rFonts w:eastAsia="宋体"/>
          <w:snapToGrid w:val="0"/>
          <w:color w:val="000000"/>
          <w:sz w:val="21"/>
          <w:szCs w:val="21"/>
          <w:lang w:eastAsia="zh-CN"/>
        </w:rPr>
        <w:t>2017</w:t>
      </w:r>
      <w:r>
        <w:rPr>
          <w:rFonts w:eastAsia="宋体" w:hint="eastAsia"/>
          <w:snapToGrid w:val="0"/>
          <w:color w:val="000000"/>
          <w:sz w:val="21"/>
          <w:szCs w:val="21"/>
          <w:lang w:eastAsia="zh-CN"/>
        </w:rPr>
        <w:t>）》等规定，承诺提供的声明函内容是真实的，并知悉根据《政府采购促进中小企业发展管理办法》（财库〔</w:t>
      </w:r>
      <w:r>
        <w:rPr>
          <w:rFonts w:eastAsia="宋体"/>
          <w:snapToGrid w:val="0"/>
          <w:color w:val="000000"/>
          <w:sz w:val="21"/>
          <w:szCs w:val="21"/>
          <w:lang w:eastAsia="zh-CN"/>
        </w:rPr>
        <w:t>2020</w:t>
      </w:r>
      <w:r>
        <w:rPr>
          <w:rFonts w:eastAsia="宋体" w:hint="eastAsia"/>
          <w:snapToGrid w:val="0"/>
          <w:color w:val="000000"/>
          <w:sz w:val="21"/>
          <w:szCs w:val="21"/>
          <w:lang w:eastAsia="zh-CN"/>
        </w:rPr>
        <w:t>〕</w:t>
      </w:r>
      <w:r>
        <w:rPr>
          <w:rFonts w:eastAsia="宋体"/>
          <w:snapToGrid w:val="0"/>
          <w:color w:val="000000"/>
          <w:sz w:val="21"/>
          <w:szCs w:val="21"/>
          <w:lang w:eastAsia="zh-CN"/>
        </w:rPr>
        <w:t xml:space="preserve">46 </w:t>
      </w:r>
      <w:r>
        <w:rPr>
          <w:rFonts w:eastAsia="宋体" w:hint="eastAsia"/>
          <w:snapToGrid w:val="0"/>
          <w:color w:val="000000"/>
          <w:sz w:val="21"/>
          <w:szCs w:val="21"/>
          <w:lang w:eastAsia="zh-CN"/>
        </w:rPr>
        <w:t>号）第二十条规定，投标人按照本办法规定提供声明函内容不实的，属于提供虚假材料谋取中标，依照《政府采购法》等政府采购有关法律法规规定追究相应责任。</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hint="eastAsia"/>
          <w:snapToGrid w:val="0"/>
          <w:color w:val="000000"/>
          <w:sz w:val="21"/>
          <w:szCs w:val="21"/>
          <w:lang w:eastAsia="zh-CN"/>
        </w:rPr>
        <w:t>企业名称</w:t>
      </w:r>
      <w:r>
        <w:rPr>
          <w:rFonts w:eastAsia="宋体"/>
          <w:snapToGrid w:val="0"/>
          <w:color w:val="000000"/>
          <w:sz w:val="21"/>
          <w:szCs w:val="21"/>
          <w:lang w:eastAsia="zh-CN"/>
        </w:rPr>
        <w:t xml:space="preserve"> </w:t>
      </w:r>
      <w:r>
        <w:rPr>
          <w:rFonts w:eastAsia="宋体" w:hint="eastAsia"/>
          <w:snapToGrid w:val="0"/>
          <w:color w:val="000000"/>
          <w:sz w:val="21"/>
          <w:szCs w:val="21"/>
          <w:lang w:eastAsia="zh-CN"/>
        </w:rPr>
        <w:t>：</w:t>
      </w:r>
      <w:r>
        <w:rPr>
          <w:rFonts w:eastAsia="宋体"/>
          <w:snapToGrid w:val="0"/>
          <w:color w:val="000000"/>
          <w:sz w:val="21"/>
          <w:szCs w:val="21"/>
          <w:u w:val="single"/>
          <w:lang w:eastAsia="zh-CN"/>
        </w:rPr>
        <w:t xml:space="preserve">                         </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hint="eastAsia"/>
          <w:snapToGrid w:val="0"/>
          <w:color w:val="000000"/>
          <w:sz w:val="21"/>
          <w:szCs w:val="21"/>
          <w:lang w:eastAsia="zh-CN"/>
        </w:rPr>
        <w:t>日期：</w:t>
      </w:r>
      <w:r>
        <w:rPr>
          <w:rFonts w:eastAsia="宋体"/>
          <w:snapToGrid w:val="0"/>
          <w:color w:val="000000"/>
          <w:sz w:val="21"/>
          <w:szCs w:val="21"/>
          <w:u w:val="single"/>
          <w:lang w:eastAsia="zh-CN"/>
        </w:rPr>
        <w:t xml:space="preserve">       </w:t>
      </w:r>
      <w:r>
        <w:rPr>
          <w:rFonts w:eastAsia="宋体" w:hint="eastAsia"/>
          <w:snapToGrid w:val="0"/>
          <w:color w:val="000000"/>
          <w:sz w:val="21"/>
          <w:szCs w:val="21"/>
          <w:lang w:eastAsia="zh-CN"/>
        </w:rPr>
        <w:t>年</w:t>
      </w:r>
      <w:r>
        <w:rPr>
          <w:rFonts w:eastAsia="宋体"/>
          <w:snapToGrid w:val="0"/>
          <w:color w:val="000000"/>
          <w:sz w:val="21"/>
          <w:szCs w:val="21"/>
          <w:u w:val="single"/>
          <w:lang w:eastAsia="zh-CN"/>
        </w:rPr>
        <w:t xml:space="preserve">       </w:t>
      </w:r>
      <w:r>
        <w:rPr>
          <w:rFonts w:eastAsia="宋体" w:hint="eastAsia"/>
          <w:snapToGrid w:val="0"/>
          <w:color w:val="000000"/>
          <w:sz w:val="21"/>
          <w:szCs w:val="21"/>
          <w:lang w:eastAsia="zh-CN"/>
        </w:rPr>
        <w:t>月</w:t>
      </w:r>
      <w:r>
        <w:rPr>
          <w:rFonts w:eastAsia="宋体"/>
          <w:snapToGrid w:val="0"/>
          <w:color w:val="000000"/>
          <w:sz w:val="21"/>
          <w:szCs w:val="21"/>
          <w:u w:val="single"/>
          <w:lang w:eastAsia="zh-CN"/>
        </w:rPr>
        <w:t xml:space="preserve">      </w:t>
      </w:r>
      <w:r>
        <w:rPr>
          <w:rFonts w:eastAsia="宋体" w:hint="eastAsia"/>
          <w:snapToGrid w:val="0"/>
          <w:color w:val="000000"/>
          <w:sz w:val="21"/>
          <w:szCs w:val="21"/>
          <w:lang w:eastAsia="zh-CN"/>
        </w:rPr>
        <w:t>日</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textAlignment w:val="baseline"/>
        <w:rPr>
          <w:rFonts w:eastAsia="宋体"/>
          <w:snapToGrid w:val="0"/>
          <w:color w:val="000000"/>
          <w:sz w:val="21"/>
          <w:szCs w:val="21"/>
          <w:lang w:eastAsia="zh-CN"/>
        </w:rPr>
      </w:pPr>
      <w:r>
        <w:rPr>
          <w:rFonts w:eastAsia="宋体"/>
          <w:snapToGrid w:val="0"/>
          <w:color w:val="000000"/>
          <w:sz w:val="21"/>
          <w:szCs w:val="21"/>
          <w:lang w:eastAsia="zh-CN"/>
        </w:rPr>
        <w:br w:type="page"/>
      </w:r>
    </w:p>
    <w:p>
      <w:pPr>
        <w:keepNext/>
        <w:keepLines/>
        <w:widowControl w:val="0"/>
        <w:spacing w:before="280" w:after="290" w:line="376" w:lineRule="auto"/>
        <w:ind w:firstLine="420" w:firstLineChars="200"/>
        <w:jc w:val="center"/>
        <w:outlineLvl w:val="2"/>
        <w:rPr>
          <w:rFonts w:eastAsia="宋体"/>
          <w:snapToGrid w:val="0"/>
          <w:color w:val="000000"/>
          <w:sz w:val="21"/>
          <w:szCs w:val="21"/>
          <w:lang w:eastAsia="zh-CN"/>
        </w:rPr>
      </w:pPr>
      <w:bookmarkStart w:id="409" w:name="_Toc22773"/>
      <w:bookmarkStart w:id="410" w:name="_Toc13373"/>
      <w:bookmarkStart w:id="411" w:name="_Toc256000078"/>
      <w:r>
        <w:rPr>
          <w:rFonts w:ascii="黑体" w:eastAsia="黑体" w:hAnsi="黑体" w:cs="黑体" w:hint="eastAsia"/>
          <w:b/>
          <w:bCs/>
          <w:kern w:val="2"/>
          <w:sz w:val="28"/>
          <w:szCs w:val="28"/>
          <w:lang w:eastAsia="zh-CN"/>
        </w:rPr>
        <w:t>（2）残疾人福利性单位声明函</w:t>
      </w:r>
      <w:bookmarkEnd w:id="411"/>
      <w:bookmarkEnd w:id="409"/>
      <w:bookmarkEnd w:id="410"/>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bookmarkStart w:id="412" w:name="_Hlk73562331"/>
      <w:bookmarkStart w:id="413" w:name="_Hlk73562245"/>
      <w:r>
        <w:rPr>
          <w:rFonts w:eastAsia="宋体"/>
          <w:snapToGrid w:val="0"/>
          <w:color w:val="000000"/>
          <w:sz w:val="21"/>
          <w:szCs w:val="21"/>
          <w:lang w:eastAsia="zh-CN"/>
        </w:rPr>
        <w:t>本单位郑重声明，根据《财政部 民政部 中国残疾人联合会关于促进残疾人就业政府采购政策的通知》（财库〔2017〕141号）的规定，本单位为符合条件的残疾人福利性单位，且本单位参加</w:t>
      </w:r>
      <w:r>
        <w:rPr>
          <w:rFonts w:eastAsia="宋体"/>
          <w:i/>
          <w:iCs/>
          <w:snapToGrid w:val="0"/>
          <w:color w:val="000000"/>
          <w:sz w:val="21"/>
          <w:szCs w:val="21"/>
          <w:u w:val="single"/>
          <w:lang w:eastAsia="zh-CN"/>
        </w:rPr>
        <w:t xml:space="preserve">    （单位名称）    </w:t>
      </w:r>
      <w:r>
        <w:rPr>
          <w:rFonts w:eastAsia="宋体"/>
          <w:snapToGrid w:val="0"/>
          <w:color w:val="000000"/>
          <w:sz w:val="21"/>
          <w:szCs w:val="21"/>
          <w:lang w:eastAsia="zh-CN"/>
        </w:rPr>
        <w:t>单位的</w:t>
      </w:r>
      <w:r>
        <w:rPr>
          <w:rFonts w:eastAsia="宋体"/>
          <w:i/>
          <w:iCs/>
          <w:snapToGrid w:val="0"/>
          <w:color w:val="000000"/>
          <w:sz w:val="21"/>
          <w:szCs w:val="21"/>
          <w:u w:val="single"/>
          <w:lang w:eastAsia="zh-CN"/>
        </w:rPr>
        <w:t xml:space="preserve">    （项目名称）    </w:t>
      </w:r>
      <w:r>
        <w:rPr>
          <w:rFonts w:eastAsia="宋体"/>
          <w:snapToGrid w:val="0"/>
          <w:color w:val="000000"/>
          <w:sz w:val="21"/>
          <w:szCs w:val="21"/>
          <w:lang w:eastAsia="zh-CN"/>
        </w:rPr>
        <w:t>项目采购活动提供本单位制造的货物（由本单位承担工程/提供服务），或者提供其他残疾人福利性单位制造的货物（不包括使用非残疾人福利性单位注册商标的货物）。</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本单位对上述声明的真实性负责。如有虚假，将依法承担相应责任。</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本投标人已知悉《财政部民政部中国残疾人联合会关于促进残疾人就业政府采购政策的通知》（财库〔2017〕141号）的规定，承诺提供的声明函内容是真实的，如提供声明函内容不实，则依法追究相关法律责任。</w:t>
      </w:r>
      <w:bookmarkEnd w:id="412"/>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bookmarkEnd w:id="413"/>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企业名称 ：</w:t>
      </w:r>
      <w:r>
        <w:rPr>
          <w:rFonts w:eastAsia="宋体"/>
          <w:snapToGrid w:val="0"/>
          <w:color w:val="000000"/>
          <w:sz w:val="21"/>
          <w:szCs w:val="21"/>
          <w:u w:val="single"/>
          <w:lang w:eastAsia="zh-CN"/>
        </w:rPr>
        <w:t xml:space="preserve">                         </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日期：</w:t>
      </w:r>
      <w:r>
        <w:rPr>
          <w:rFonts w:eastAsia="宋体"/>
          <w:snapToGrid w:val="0"/>
          <w:color w:val="000000"/>
          <w:sz w:val="21"/>
          <w:szCs w:val="21"/>
          <w:u w:val="single"/>
          <w:lang w:eastAsia="zh-CN"/>
        </w:rPr>
        <w:t xml:space="preserve">       </w:t>
      </w:r>
      <w:r>
        <w:rPr>
          <w:rFonts w:eastAsia="宋体"/>
          <w:snapToGrid w:val="0"/>
          <w:color w:val="000000"/>
          <w:sz w:val="21"/>
          <w:szCs w:val="21"/>
          <w:lang w:eastAsia="zh-CN"/>
        </w:rPr>
        <w:t>年</w:t>
      </w:r>
      <w:r>
        <w:rPr>
          <w:rFonts w:eastAsia="宋体"/>
          <w:snapToGrid w:val="0"/>
          <w:color w:val="000000"/>
          <w:sz w:val="21"/>
          <w:szCs w:val="21"/>
          <w:u w:val="single"/>
          <w:lang w:eastAsia="zh-CN"/>
        </w:rPr>
        <w:t xml:space="preserve">       </w:t>
      </w:r>
      <w:r>
        <w:rPr>
          <w:rFonts w:eastAsia="宋体"/>
          <w:snapToGrid w:val="0"/>
          <w:color w:val="000000"/>
          <w:sz w:val="21"/>
          <w:szCs w:val="21"/>
          <w:lang w:eastAsia="zh-CN"/>
        </w:rPr>
        <w:t>月</w:t>
      </w:r>
      <w:r>
        <w:rPr>
          <w:rFonts w:eastAsia="宋体"/>
          <w:snapToGrid w:val="0"/>
          <w:color w:val="000000"/>
          <w:sz w:val="21"/>
          <w:szCs w:val="21"/>
          <w:u w:val="single"/>
          <w:lang w:eastAsia="zh-CN"/>
        </w:rPr>
        <w:t xml:space="preserve">      </w:t>
      </w:r>
      <w:r>
        <w:rPr>
          <w:rFonts w:eastAsia="宋体"/>
          <w:snapToGrid w:val="0"/>
          <w:color w:val="000000"/>
          <w:sz w:val="21"/>
          <w:szCs w:val="21"/>
          <w:lang w:eastAsia="zh-CN"/>
        </w:rPr>
        <w:t>日</w:t>
      </w:r>
    </w:p>
    <w:p>
      <w:pPr>
        <w:kinsoku w:val="0"/>
        <w:autoSpaceDE w:val="0"/>
        <w:autoSpaceDN w:val="0"/>
        <w:adjustRightInd w:val="0"/>
        <w:snapToGrid w:val="0"/>
        <w:spacing w:line="400" w:lineRule="exact"/>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textAlignment w:val="baseline"/>
        <w:rPr>
          <w:rFonts w:eastAsia="宋体"/>
          <w:snapToGrid w:val="0"/>
          <w:color w:val="000000"/>
          <w:sz w:val="21"/>
          <w:szCs w:val="21"/>
          <w:lang w:eastAsia="zh-CN"/>
        </w:rPr>
      </w:pPr>
      <w:r>
        <w:rPr>
          <w:rFonts w:eastAsia="宋体"/>
          <w:snapToGrid w:val="0"/>
          <w:color w:val="000000"/>
          <w:sz w:val="21"/>
          <w:szCs w:val="21"/>
          <w:lang w:eastAsia="zh-CN"/>
        </w:rPr>
        <w:br w:type="page"/>
      </w:r>
    </w:p>
    <w:p>
      <w:pPr>
        <w:keepNext/>
        <w:keepLines/>
        <w:widowControl w:val="0"/>
        <w:spacing w:before="280" w:after="290" w:line="376" w:lineRule="auto"/>
        <w:ind w:firstLine="420" w:firstLineChars="200"/>
        <w:jc w:val="center"/>
        <w:outlineLvl w:val="2"/>
        <w:rPr>
          <w:rFonts w:ascii="黑体" w:eastAsia="黑体" w:hAnsi="黑体" w:cs="黑体" w:hint="eastAsia"/>
          <w:b/>
          <w:bCs/>
          <w:kern w:val="2"/>
          <w:sz w:val="28"/>
          <w:szCs w:val="28"/>
          <w:lang w:eastAsia="zh-CN"/>
        </w:rPr>
      </w:pPr>
      <w:bookmarkStart w:id="414" w:name="_Toc5662"/>
      <w:bookmarkStart w:id="415" w:name="_Toc8926"/>
      <w:bookmarkStart w:id="416" w:name="_Toc256000079"/>
      <w:r>
        <w:rPr>
          <w:rFonts w:ascii="黑体" w:eastAsia="黑体" w:hAnsi="黑体" w:cs="黑体" w:hint="eastAsia"/>
          <w:b/>
          <w:bCs/>
          <w:kern w:val="2"/>
          <w:sz w:val="28"/>
          <w:szCs w:val="28"/>
          <w:lang w:eastAsia="zh-CN"/>
        </w:rPr>
        <w:t>（3）监狱企业声明函【提供监狱企业货物的供应商如需享受优惠政策，还须另行提供省级以上监狱管理局、戒毒管理局（含新疆生产建设兵团）出具的监狱企业证明文件】</w:t>
      </w:r>
      <w:bookmarkEnd w:id="416"/>
      <w:bookmarkEnd w:id="414"/>
      <w:bookmarkEnd w:id="415"/>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本投标人郑重声明，根据《财政部司法部关于政府采购支持监狱企业发展有关问题的通知》（财库〔2014〕68号）的规定，本投标人参加</w:t>
      </w:r>
      <w:r>
        <w:rPr>
          <w:rFonts w:eastAsia="宋体"/>
          <w:i/>
          <w:iCs/>
          <w:snapToGrid w:val="0"/>
          <w:color w:val="000000"/>
          <w:sz w:val="21"/>
          <w:szCs w:val="21"/>
          <w:u w:val="single"/>
          <w:lang w:eastAsia="zh-CN"/>
        </w:rPr>
        <w:t>（采购人名称）</w:t>
      </w:r>
      <w:r>
        <w:rPr>
          <w:rFonts w:eastAsia="宋体"/>
          <w:snapToGrid w:val="0"/>
          <w:color w:val="000000"/>
          <w:sz w:val="21"/>
          <w:szCs w:val="21"/>
          <w:lang w:eastAsia="zh-CN"/>
        </w:rPr>
        <w:t>的</w:t>
      </w:r>
      <w:r>
        <w:rPr>
          <w:rFonts w:eastAsia="宋体"/>
          <w:i/>
          <w:iCs/>
          <w:snapToGrid w:val="0"/>
          <w:color w:val="000000"/>
          <w:sz w:val="21"/>
          <w:szCs w:val="21"/>
          <w:u w:val="single"/>
          <w:lang w:eastAsia="zh-CN"/>
        </w:rPr>
        <w:t>（项目名称）</w:t>
      </w:r>
      <w:r>
        <w:rPr>
          <w:rFonts w:eastAsia="宋体"/>
          <w:snapToGrid w:val="0"/>
          <w:color w:val="000000"/>
          <w:sz w:val="21"/>
          <w:szCs w:val="21"/>
          <w:lang w:eastAsia="zh-CN"/>
        </w:rPr>
        <w:t>采购活动，</w:t>
      </w:r>
      <w:r>
        <w:rPr>
          <w:rFonts w:eastAsia="宋体" w:hint="eastAsia"/>
          <w:snapToGrid w:val="0"/>
          <w:color w:val="000000"/>
          <w:sz w:val="21"/>
          <w:szCs w:val="21"/>
          <w:lang w:eastAsia="zh-CN"/>
        </w:rPr>
        <w:t>提供的服务全部由符合政策要求的监狱企业承接</w:t>
      </w:r>
      <w:r>
        <w:rPr>
          <w:rFonts w:eastAsia="宋体"/>
          <w:snapToGrid w:val="0"/>
          <w:color w:val="000000"/>
          <w:sz w:val="21"/>
          <w:szCs w:val="21"/>
          <w:lang w:eastAsia="zh-CN"/>
        </w:rPr>
        <w:t>。相关监狱企业的具体情况如下：</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1.</w:t>
      </w:r>
      <w:r>
        <w:rPr>
          <w:rFonts w:eastAsia="宋体"/>
          <w:b/>
          <w:bCs/>
          <w:i/>
          <w:iCs/>
          <w:snapToGrid w:val="0"/>
          <w:color w:val="000000"/>
          <w:sz w:val="21"/>
          <w:szCs w:val="21"/>
          <w:u w:val="single"/>
          <w:lang w:eastAsia="zh-CN"/>
        </w:rPr>
        <w:t xml:space="preserve">    （标的名称）    </w:t>
      </w:r>
      <w:r>
        <w:rPr>
          <w:rFonts w:eastAsia="宋体"/>
          <w:snapToGrid w:val="0"/>
          <w:color w:val="000000"/>
          <w:sz w:val="21"/>
          <w:szCs w:val="21"/>
          <w:lang w:eastAsia="zh-CN"/>
        </w:rPr>
        <w:t>，</w:t>
      </w:r>
      <w:r>
        <w:rPr>
          <w:rFonts w:eastAsia="宋体" w:hint="eastAsia"/>
          <w:snapToGrid w:val="0"/>
          <w:color w:val="000000"/>
          <w:sz w:val="21"/>
          <w:szCs w:val="21"/>
          <w:lang w:eastAsia="zh-CN"/>
        </w:rPr>
        <w:t>承接单位</w:t>
      </w:r>
      <w:r>
        <w:rPr>
          <w:rFonts w:eastAsia="宋体"/>
          <w:snapToGrid w:val="0"/>
          <w:color w:val="000000"/>
          <w:sz w:val="21"/>
          <w:szCs w:val="21"/>
          <w:lang w:eastAsia="zh-CN"/>
        </w:rPr>
        <w:t>为</w:t>
      </w:r>
      <w:r>
        <w:rPr>
          <w:rFonts w:eastAsia="宋体"/>
          <w:b/>
          <w:bCs/>
          <w:snapToGrid w:val="0"/>
          <w:color w:val="000000"/>
          <w:sz w:val="21"/>
          <w:szCs w:val="21"/>
          <w:u w:val="single"/>
          <w:lang w:eastAsia="zh-CN"/>
        </w:rPr>
        <w:t xml:space="preserve">    </w:t>
      </w:r>
      <w:r>
        <w:rPr>
          <w:rFonts w:eastAsia="宋体"/>
          <w:b/>
          <w:bCs/>
          <w:i/>
          <w:iCs/>
          <w:snapToGrid w:val="0"/>
          <w:color w:val="000000"/>
          <w:sz w:val="21"/>
          <w:szCs w:val="21"/>
          <w:u w:val="single"/>
          <w:lang w:eastAsia="zh-CN"/>
        </w:rPr>
        <w:t xml:space="preserve">（企业名称）    </w:t>
      </w:r>
      <w:r>
        <w:rPr>
          <w:rFonts w:eastAsia="宋体"/>
          <w:snapToGrid w:val="0"/>
          <w:color w:val="000000"/>
          <w:sz w:val="21"/>
          <w:szCs w:val="21"/>
          <w:lang w:eastAsia="zh-CN"/>
        </w:rPr>
        <w:t>，属于</w:t>
      </w:r>
      <w:r>
        <w:rPr>
          <w:rFonts w:eastAsia="宋体"/>
          <w:b/>
          <w:bCs/>
          <w:snapToGrid w:val="0"/>
          <w:color w:val="000000"/>
          <w:sz w:val="21"/>
          <w:szCs w:val="21"/>
          <w:u w:val="single"/>
          <w:lang w:eastAsia="zh-CN"/>
        </w:rPr>
        <w:t xml:space="preserve">  监狱企业  </w:t>
      </w:r>
      <w:r>
        <w:rPr>
          <w:rFonts w:eastAsia="宋体"/>
          <w:snapToGrid w:val="0"/>
          <w:color w:val="000000"/>
          <w:sz w:val="21"/>
          <w:szCs w:val="21"/>
          <w:lang w:eastAsia="zh-CN"/>
        </w:rPr>
        <w:t>；</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2.</w:t>
      </w:r>
      <w:r>
        <w:rPr>
          <w:rFonts w:eastAsia="宋体"/>
          <w:b/>
          <w:bCs/>
          <w:i/>
          <w:iCs/>
          <w:snapToGrid w:val="0"/>
          <w:color w:val="000000"/>
          <w:sz w:val="21"/>
          <w:szCs w:val="21"/>
          <w:u w:val="single"/>
          <w:lang w:eastAsia="zh-CN"/>
        </w:rPr>
        <w:t xml:space="preserve">    （标的名称）    </w:t>
      </w:r>
      <w:r>
        <w:rPr>
          <w:rFonts w:eastAsia="宋体"/>
          <w:snapToGrid w:val="0"/>
          <w:color w:val="000000"/>
          <w:sz w:val="21"/>
          <w:szCs w:val="21"/>
          <w:lang w:eastAsia="zh-CN"/>
        </w:rPr>
        <w:t>，</w:t>
      </w:r>
      <w:r>
        <w:rPr>
          <w:rFonts w:eastAsia="宋体" w:hint="eastAsia"/>
          <w:snapToGrid w:val="0"/>
          <w:color w:val="000000"/>
          <w:sz w:val="21"/>
          <w:szCs w:val="21"/>
          <w:lang w:eastAsia="zh-CN"/>
        </w:rPr>
        <w:t>承接单位</w:t>
      </w:r>
      <w:r>
        <w:rPr>
          <w:rFonts w:eastAsia="宋体"/>
          <w:snapToGrid w:val="0"/>
          <w:color w:val="000000"/>
          <w:sz w:val="21"/>
          <w:szCs w:val="21"/>
          <w:lang w:eastAsia="zh-CN"/>
        </w:rPr>
        <w:t>为</w:t>
      </w:r>
      <w:r>
        <w:rPr>
          <w:rFonts w:eastAsia="宋体"/>
          <w:b/>
          <w:bCs/>
          <w:snapToGrid w:val="0"/>
          <w:color w:val="000000"/>
          <w:sz w:val="21"/>
          <w:szCs w:val="21"/>
          <w:u w:val="single"/>
          <w:lang w:eastAsia="zh-CN"/>
        </w:rPr>
        <w:t xml:space="preserve">    </w:t>
      </w:r>
      <w:r>
        <w:rPr>
          <w:rFonts w:eastAsia="宋体"/>
          <w:b/>
          <w:bCs/>
          <w:i/>
          <w:iCs/>
          <w:snapToGrid w:val="0"/>
          <w:color w:val="000000"/>
          <w:sz w:val="21"/>
          <w:szCs w:val="21"/>
          <w:u w:val="single"/>
          <w:lang w:eastAsia="zh-CN"/>
        </w:rPr>
        <w:t xml:space="preserve">（企业名称）    </w:t>
      </w:r>
      <w:r>
        <w:rPr>
          <w:rFonts w:eastAsia="宋体"/>
          <w:snapToGrid w:val="0"/>
          <w:color w:val="000000"/>
          <w:sz w:val="21"/>
          <w:szCs w:val="21"/>
          <w:lang w:eastAsia="zh-CN"/>
        </w:rPr>
        <w:t>，属于</w:t>
      </w:r>
      <w:r>
        <w:rPr>
          <w:rFonts w:eastAsia="宋体"/>
          <w:b/>
          <w:bCs/>
          <w:snapToGrid w:val="0"/>
          <w:color w:val="000000"/>
          <w:sz w:val="21"/>
          <w:szCs w:val="21"/>
          <w:u w:val="single"/>
          <w:lang w:eastAsia="zh-CN"/>
        </w:rPr>
        <w:t xml:space="preserve">  监狱企业  </w:t>
      </w:r>
      <w:r>
        <w:rPr>
          <w:rFonts w:eastAsia="宋体"/>
          <w:snapToGrid w:val="0"/>
          <w:color w:val="000000"/>
          <w:sz w:val="21"/>
          <w:szCs w:val="21"/>
          <w:lang w:eastAsia="zh-CN"/>
        </w:rPr>
        <w:t>。</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 xml:space="preserve">…… </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本投标人对上述声明内容的真实性负责。如有虚假，将依法承担相应责任。</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附：省级以上监狱管理局、戒毒管理局（含新疆生产建设兵团）出具的监狱企业证明文件。</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企业名称 ：</w:t>
      </w:r>
      <w:r>
        <w:rPr>
          <w:rFonts w:eastAsia="宋体"/>
          <w:snapToGrid w:val="0"/>
          <w:color w:val="000000"/>
          <w:sz w:val="21"/>
          <w:szCs w:val="21"/>
          <w:u w:val="single"/>
          <w:lang w:eastAsia="zh-CN"/>
        </w:rPr>
        <w:t xml:space="preserve">                         </w:t>
      </w:r>
    </w:p>
    <w:p>
      <w:pPr>
        <w:kinsoku w:val="0"/>
        <w:autoSpaceDE w:val="0"/>
        <w:autoSpaceDN w:val="0"/>
        <w:adjustRightInd w:val="0"/>
        <w:snapToGrid w:val="0"/>
        <w:spacing w:line="400" w:lineRule="exact"/>
        <w:ind w:firstLine="420" w:firstLineChars="200"/>
        <w:textAlignment w:val="baseline"/>
        <w:rPr>
          <w:rFonts w:eastAsia="宋体"/>
          <w:snapToGrid w:val="0"/>
          <w:color w:val="000000"/>
          <w:sz w:val="21"/>
          <w:szCs w:val="21"/>
          <w:lang w:eastAsia="zh-CN"/>
        </w:rPr>
      </w:pPr>
      <w:r>
        <w:rPr>
          <w:rFonts w:eastAsia="宋体"/>
          <w:snapToGrid w:val="0"/>
          <w:color w:val="000000"/>
          <w:sz w:val="21"/>
          <w:szCs w:val="21"/>
          <w:lang w:eastAsia="zh-CN"/>
        </w:rPr>
        <w:t>日期：</w:t>
      </w:r>
      <w:r>
        <w:rPr>
          <w:rFonts w:eastAsia="宋体"/>
          <w:snapToGrid w:val="0"/>
          <w:color w:val="000000"/>
          <w:sz w:val="21"/>
          <w:szCs w:val="21"/>
          <w:u w:val="single"/>
          <w:lang w:eastAsia="zh-CN"/>
        </w:rPr>
        <w:t xml:space="preserve">       </w:t>
      </w:r>
      <w:r>
        <w:rPr>
          <w:rFonts w:eastAsia="宋体"/>
          <w:snapToGrid w:val="0"/>
          <w:color w:val="000000"/>
          <w:sz w:val="21"/>
          <w:szCs w:val="21"/>
          <w:lang w:eastAsia="zh-CN"/>
        </w:rPr>
        <w:t>年</w:t>
      </w:r>
      <w:r>
        <w:rPr>
          <w:rFonts w:eastAsia="宋体"/>
          <w:snapToGrid w:val="0"/>
          <w:color w:val="000000"/>
          <w:sz w:val="21"/>
          <w:szCs w:val="21"/>
          <w:u w:val="single"/>
          <w:lang w:eastAsia="zh-CN"/>
        </w:rPr>
        <w:t xml:space="preserve">       </w:t>
      </w:r>
      <w:r>
        <w:rPr>
          <w:rFonts w:eastAsia="宋体"/>
          <w:snapToGrid w:val="0"/>
          <w:color w:val="000000"/>
          <w:sz w:val="21"/>
          <w:szCs w:val="21"/>
          <w:lang w:eastAsia="zh-CN"/>
        </w:rPr>
        <w:t>月</w:t>
      </w:r>
      <w:r>
        <w:rPr>
          <w:rFonts w:eastAsia="宋体"/>
          <w:snapToGrid w:val="0"/>
          <w:color w:val="000000"/>
          <w:sz w:val="21"/>
          <w:szCs w:val="21"/>
          <w:u w:val="single"/>
          <w:lang w:eastAsia="zh-CN"/>
        </w:rPr>
        <w:t xml:space="preserve">      </w:t>
      </w:r>
      <w:r>
        <w:rPr>
          <w:rFonts w:eastAsia="宋体"/>
          <w:snapToGrid w:val="0"/>
          <w:color w:val="000000"/>
          <w:sz w:val="21"/>
          <w:szCs w:val="21"/>
          <w:lang w:eastAsia="zh-CN"/>
        </w:rPr>
        <w:t>日</w:t>
      </w:r>
    </w:p>
    <w:p>
      <w:pPr>
        <w:spacing w:line="400" w:lineRule="exact"/>
      </w:pPr>
    </w:p>
    <w:p>
      <w:pPr>
        <w:spacing w:line="400" w:lineRule="exact"/>
      </w:pPr>
    </w:p>
    <w:p>
      <w:bookmarkStart w:id="417" w:name="_Toc24610"/>
      <w:bookmarkStart w:id="418" w:name="_Toc31412"/>
      <w:bookmarkStart w:id="419" w:name="_Toc26666"/>
      <w:bookmarkStart w:id="420" w:name="_Toc26539"/>
      <w:r>
        <w:br w:type="page"/>
      </w:r>
    </w:p>
    <w:p>
      <w:pPr>
        <w:pStyle w:val="Heading2"/>
        <w:spacing w:line="400" w:lineRule="exact"/>
        <w:jc w:val="center"/>
      </w:pPr>
      <w:bookmarkStart w:id="421" w:name="_Toc13620"/>
      <w:bookmarkStart w:id="422" w:name="_Toc256000080"/>
      <w:r>
        <w:t>格式</w:t>
      </w:r>
      <w:r>
        <w:rPr>
          <w:rFonts w:hint="eastAsia"/>
        </w:rPr>
        <w:t>1</w:t>
      </w:r>
      <w:r>
        <w:rPr>
          <w:rFonts w:hint="eastAsia"/>
          <w:lang w:val="en-US" w:eastAsia="zh-CN"/>
        </w:rPr>
        <w:t>3</w:t>
      </w:r>
      <w:r>
        <w:t>：履约进度计划表</w:t>
      </w:r>
      <w:bookmarkEnd w:id="422"/>
      <w:bookmarkEnd w:id="417"/>
      <w:bookmarkEnd w:id="418"/>
      <w:bookmarkEnd w:id="419"/>
      <w:bookmarkEnd w:id="420"/>
      <w:bookmarkEnd w:id="421"/>
    </w:p>
    <w:p>
      <w:pPr>
        <w:spacing w:line="400" w:lineRule="exact"/>
        <w:jc w:val="cente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16"/>
        <w:gridCol w:w="2480"/>
        <w:gridCol w:w="2954"/>
        <w:gridCol w:w="237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716" w:type="dxa"/>
            <w:vAlign w:val="center"/>
          </w:tcPr>
          <w:p>
            <w:pPr>
              <w:spacing w:line="400" w:lineRule="exact"/>
            </w:pPr>
            <w:r>
              <w:rPr>
                <w:rFonts w:hint="eastAsia"/>
              </w:rPr>
              <w:t>序号</w:t>
            </w:r>
          </w:p>
        </w:tc>
        <w:tc>
          <w:tcPr>
            <w:tcW w:w="2480" w:type="dxa"/>
            <w:vAlign w:val="center"/>
          </w:tcPr>
          <w:p>
            <w:pPr>
              <w:spacing w:line="400" w:lineRule="exact"/>
            </w:pPr>
            <w:r>
              <w:rPr>
                <w:rFonts w:hint="eastAsia"/>
              </w:rPr>
              <w:t>拟定时间安排</w:t>
            </w:r>
          </w:p>
        </w:tc>
        <w:tc>
          <w:tcPr>
            <w:tcW w:w="2954" w:type="dxa"/>
            <w:vAlign w:val="center"/>
          </w:tcPr>
          <w:p>
            <w:pPr>
              <w:spacing w:line="400" w:lineRule="exact"/>
            </w:pPr>
            <w:r>
              <w:rPr>
                <w:rFonts w:hint="eastAsia"/>
              </w:rPr>
              <w:t>计划完成的工作内容</w:t>
            </w:r>
          </w:p>
        </w:tc>
        <w:tc>
          <w:tcPr>
            <w:tcW w:w="2378" w:type="dxa"/>
            <w:vAlign w:val="center"/>
          </w:tcPr>
          <w:p>
            <w:pPr>
              <w:spacing w:line="400" w:lineRule="exact"/>
            </w:pPr>
            <w:r>
              <w:rPr>
                <w:rFonts w:hint="eastAsia"/>
              </w:rPr>
              <w:t>实施方建议或要求</w:t>
            </w:r>
          </w:p>
        </w:tc>
      </w:tr>
      <w:tr>
        <w:tblPrEx>
          <w:tblW w:w="0" w:type="auto"/>
          <w:jc w:val="center"/>
          <w:tblLayout w:type="fixed"/>
          <w:tblCellMar>
            <w:top w:w="0" w:type="dxa"/>
            <w:left w:w="108" w:type="dxa"/>
            <w:bottom w:w="0" w:type="dxa"/>
            <w:right w:w="108" w:type="dxa"/>
          </w:tblCellMar>
        </w:tblPrEx>
        <w:trPr>
          <w:jc w:val="center"/>
        </w:trPr>
        <w:tc>
          <w:tcPr>
            <w:tcW w:w="716" w:type="dxa"/>
            <w:vAlign w:val="center"/>
          </w:tcPr>
          <w:p>
            <w:pPr>
              <w:spacing w:line="400" w:lineRule="exact"/>
            </w:pPr>
          </w:p>
        </w:tc>
        <w:tc>
          <w:tcPr>
            <w:tcW w:w="2480" w:type="dxa"/>
            <w:vAlign w:val="center"/>
          </w:tcPr>
          <w:p>
            <w:pPr>
              <w:spacing w:line="400" w:lineRule="exact"/>
            </w:pPr>
            <w:r>
              <w:rPr>
                <w:rFonts w:hint="eastAsia"/>
              </w:rPr>
              <w:t>拟定  年  月   日</w:t>
            </w:r>
          </w:p>
        </w:tc>
        <w:tc>
          <w:tcPr>
            <w:tcW w:w="2954" w:type="dxa"/>
            <w:vAlign w:val="center"/>
          </w:tcPr>
          <w:p>
            <w:pPr>
              <w:spacing w:line="400" w:lineRule="exact"/>
            </w:pPr>
            <w:r>
              <w:rPr>
                <w:rFonts w:hint="eastAsia"/>
              </w:rPr>
              <w:t>签定合同并生效</w:t>
            </w:r>
          </w:p>
        </w:tc>
        <w:tc>
          <w:tcPr>
            <w:tcW w:w="2378"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jc w:val="center"/>
        </w:trPr>
        <w:tc>
          <w:tcPr>
            <w:tcW w:w="716" w:type="dxa"/>
            <w:vAlign w:val="center"/>
          </w:tcPr>
          <w:p>
            <w:pPr>
              <w:spacing w:line="400" w:lineRule="exact"/>
            </w:pPr>
          </w:p>
        </w:tc>
        <w:tc>
          <w:tcPr>
            <w:tcW w:w="2480" w:type="dxa"/>
            <w:vAlign w:val="center"/>
          </w:tcPr>
          <w:p>
            <w:pPr>
              <w:spacing w:line="400" w:lineRule="exact"/>
            </w:pPr>
            <w:r>
              <w:rPr>
                <w:rFonts w:hint="eastAsia"/>
              </w:rPr>
              <w:t>月   日—   月   日</w:t>
            </w:r>
          </w:p>
        </w:tc>
        <w:tc>
          <w:tcPr>
            <w:tcW w:w="2954" w:type="dxa"/>
            <w:vAlign w:val="center"/>
          </w:tcPr>
          <w:p>
            <w:pPr>
              <w:spacing w:line="400" w:lineRule="exact"/>
            </w:pPr>
          </w:p>
        </w:tc>
        <w:tc>
          <w:tcPr>
            <w:tcW w:w="2378"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jc w:val="center"/>
        </w:trPr>
        <w:tc>
          <w:tcPr>
            <w:tcW w:w="716" w:type="dxa"/>
            <w:vAlign w:val="center"/>
          </w:tcPr>
          <w:p>
            <w:pPr>
              <w:spacing w:line="400" w:lineRule="exact"/>
            </w:pPr>
          </w:p>
        </w:tc>
        <w:tc>
          <w:tcPr>
            <w:tcW w:w="2480" w:type="dxa"/>
            <w:vAlign w:val="center"/>
          </w:tcPr>
          <w:p>
            <w:pPr>
              <w:spacing w:line="400" w:lineRule="exact"/>
            </w:pPr>
            <w:r>
              <w:rPr>
                <w:rFonts w:hint="eastAsia"/>
              </w:rPr>
              <w:t>月   日—   月   日</w:t>
            </w:r>
          </w:p>
        </w:tc>
        <w:tc>
          <w:tcPr>
            <w:tcW w:w="2954" w:type="dxa"/>
            <w:vAlign w:val="center"/>
          </w:tcPr>
          <w:p>
            <w:pPr>
              <w:spacing w:line="400" w:lineRule="exact"/>
            </w:pPr>
          </w:p>
        </w:tc>
        <w:tc>
          <w:tcPr>
            <w:tcW w:w="2378" w:type="dxa"/>
            <w:vAlign w:val="center"/>
          </w:tcPr>
          <w:p>
            <w:pPr>
              <w:spacing w:line="400" w:lineRule="exact"/>
            </w:pPr>
          </w:p>
        </w:tc>
      </w:tr>
      <w:tr>
        <w:tblPrEx>
          <w:tblW w:w="0" w:type="auto"/>
          <w:jc w:val="center"/>
          <w:tblLayout w:type="fixed"/>
          <w:tblCellMar>
            <w:top w:w="0" w:type="dxa"/>
            <w:left w:w="108" w:type="dxa"/>
            <w:bottom w:w="0" w:type="dxa"/>
            <w:right w:w="108" w:type="dxa"/>
          </w:tblCellMar>
        </w:tblPrEx>
        <w:trPr>
          <w:jc w:val="center"/>
        </w:trPr>
        <w:tc>
          <w:tcPr>
            <w:tcW w:w="716" w:type="dxa"/>
            <w:vAlign w:val="center"/>
          </w:tcPr>
          <w:p>
            <w:pPr>
              <w:spacing w:line="400" w:lineRule="exact"/>
            </w:pPr>
          </w:p>
        </w:tc>
        <w:tc>
          <w:tcPr>
            <w:tcW w:w="2480" w:type="dxa"/>
            <w:vAlign w:val="center"/>
          </w:tcPr>
          <w:p>
            <w:pPr>
              <w:spacing w:line="400" w:lineRule="exact"/>
            </w:pPr>
            <w:r>
              <w:rPr>
                <w:rFonts w:hint="eastAsia"/>
              </w:rPr>
              <w:t>月   日—   月   日</w:t>
            </w:r>
          </w:p>
        </w:tc>
        <w:tc>
          <w:tcPr>
            <w:tcW w:w="2954" w:type="dxa"/>
            <w:vAlign w:val="center"/>
          </w:tcPr>
          <w:p>
            <w:pPr>
              <w:spacing w:line="400" w:lineRule="exact"/>
            </w:pPr>
          </w:p>
        </w:tc>
        <w:tc>
          <w:tcPr>
            <w:tcW w:w="2378" w:type="dxa"/>
            <w:vAlign w:val="center"/>
          </w:tcPr>
          <w:p>
            <w:pPr>
              <w:spacing w:line="400" w:lineRule="exact"/>
            </w:pPr>
          </w:p>
        </w:tc>
      </w:tr>
    </w:tbl>
    <w:p>
      <w:pPr>
        <w:spacing w:line="400" w:lineRule="exact"/>
      </w:pPr>
    </w:p>
    <w:p>
      <w:pPr>
        <w:pStyle w:val="BodyText"/>
      </w:pPr>
      <w:r>
        <w:rPr>
          <w:rFonts w:hint="eastAsia"/>
        </w:rPr>
        <w:t>注：该表格式仅作参考，详细表格格式可自定。</w:t>
      </w:r>
    </w:p>
    <w:p>
      <w:pPr>
        <w:spacing w:line="400" w:lineRule="exact"/>
      </w:pPr>
    </w:p>
    <w:p>
      <w:pPr>
        <w:spacing w:line="400" w:lineRule="exact"/>
      </w:pPr>
      <w:r>
        <w:rPr>
          <w:rFonts w:hint="eastAsia"/>
        </w:rPr>
        <w:t xml:space="preserve">投标人名称： </w:t>
      </w:r>
    </w:p>
    <w:p>
      <w:pPr>
        <w:spacing w:line="400" w:lineRule="exact"/>
      </w:pPr>
      <w:r>
        <w:rPr>
          <w:rFonts w:hint="eastAsia"/>
        </w:rPr>
        <w:t xml:space="preserve">法定代表人（单位负责人）或委托代理人： </w:t>
      </w:r>
    </w:p>
    <w:p>
      <w:pPr>
        <w:spacing w:line="400" w:lineRule="exact"/>
      </w:pPr>
      <w:r>
        <w:rPr>
          <w:rFonts w:hint="eastAsia"/>
        </w:rPr>
        <w:t>日期：   年   月   日</w:t>
      </w:r>
    </w:p>
    <w:p>
      <w:pPr>
        <w:spacing w:line="400" w:lineRule="exact"/>
      </w:pPr>
    </w:p>
    <w:p>
      <w:pPr>
        <w:pStyle w:val="Heading2"/>
        <w:numPr>
          <w:ilvl w:val="1"/>
          <w:numId w:val="0"/>
        </w:numPr>
        <w:spacing w:line="400" w:lineRule="exact"/>
        <w:ind w:firstLine="402"/>
        <w:jc w:val="center"/>
        <w:rPr>
          <w:rFonts w:cs="Times New Roman" w:hint="eastAsia"/>
          <w:lang w:eastAsia="zh-CN"/>
        </w:rPr>
      </w:pPr>
      <w:r>
        <w:rPr>
          <w:rFonts w:hint="eastAsia"/>
        </w:rPr>
        <w:br w:type="page"/>
      </w:r>
      <w:bookmarkStart w:id="423" w:name="_Toc796"/>
      <w:bookmarkStart w:id="424" w:name="_Toc24766"/>
      <w:bookmarkStart w:id="425" w:name="_Toc21029"/>
      <w:bookmarkStart w:id="426" w:name="_Toc26493"/>
      <w:bookmarkStart w:id="427" w:name="_Toc256000081"/>
      <w:r>
        <w:rPr>
          <w:rFonts w:cs="Times New Roman" w:hint="eastAsia"/>
          <w:lang w:val="en-US" w:eastAsia="zh-CN"/>
        </w:rPr>
        <w:t>格式14：</w:t>
      </w:r>
      <w:r>
        <w:rPr>
          <w:rFonts w:cs="Times New Roman" w:hint="eastAsia"/>
          <w:lang w:eastAsia="zh-CN"/>
        </w:rPr>
        <w:t>政府采购违法行为风险知悉确认书</w:t>
      </w:r>
      <w:bookmarkEnd w:id="427"/>
      <w:bookmarkEnd w:id="423"/>
      <w:bookmarkEnd w:id="424"/>
      <w:bookmarkEnd w:id="425"/>
      <w:bookmarkEnd w:id="426"/>
    </w:p>
    <w:p>
      <w:pPr>
        <w:numPr>
          <w:ilvl w:val="0"/>
          <w:numId w:val="0"/>
        </w:numPr>
        <w:spacing w:line="579" w:lineRule="exact"/>
        <w:ind w:firstLine="420" w:firstLineChars="200"/>
        <w:rPr>
          <w:rFonts w:ascii="仿宋_GB2312" w:eastAsia="仿宋_GB2312" w:hAnsi="仿宋_GB2312" w:cs="仿宋_GB2312" w:hint="eastAsia"/>
          <w:sz w:val="32"/>
          <w:szCs w:val="32"/>
          <w:lang w:val="en-US" w:eastAsia="zh-CN"/>
        </w:rPr>
      </w:pPr>
    </w:p>
    <w:p>
      <w:pPr>
        <w:spacing w:before="0" w:beforeLines="0" w:after="156" w:afterLines="50" w:line="360" w:lineRule="exact"/>
        <w:ind w:firstLine="420" w:firstLineChars="200"/>
        <w:rPr>
          <w:rFonts w:eastAsia="宋体" w:cs="Times New Roman" w:hint="eastAsia"/>
          <w:b/>
          <w:bCs/>
          <w:color w:val="auto"/>
          <w:sz w:val="24"/>
          <w:lang w:val="en-US" w:eastAsia="zh-CN"/>
        </w:rPr>
      </w:pPr>
      <w:r>
        <w:rPr>
          <w:rFonts w:hint="eastAsia"/>
          <w:b/>
          <w:bCs/>
          <w:color w:val="auto"/>
          <w:sz w:val="24"/>
          <w:lang w:eastAsia="zh-CN"/>
        </w:rPr>
        <w:t>我</w:t>
      </w:r>
      <w:r>
        <w:rPr>
          <w:rFonts w:ascii="Calibri" w:eastAsia="宋体" w:hAnsi="Calibri" w:cs="Times New Roman" w:hint="eastAsia"/>
          <w:b/>
          <w:bCs/>
          <w:color w:val="auto"/>
          <w:sz w:val="24"/>
          <w:szCs w:val="24"/>
          <w:lang w:val="en-US" w:eastAsia="zh-CN"/>
        </w:rPr>
        <w:t>单位</w:t>
      </w:r>
      <w:r>
        <w:rPr>
          <w:rFonts w:eastAsia="宋体" w:hint="eastAsia"/>
          <w:b/>
          <w:bCs/>
          <w:color w:val="auto"/>
          <w:sz w:val="24"/>
        </w:rPr>
        <w:t>在</w:t>
      </w:r>
      <w:r>
        <w:rPr>
          <w:rFonts w:hint="eastAsia"/>
          <w:b/>
          <w:bCs/>
          <w:color w:val="auto"/>
          <w:sz w:val="24"/>
        </w:rPr>
        <w:t>投标前已充分知悉以下情形为参与政府采购活动时的重大风险事项，并承诺已对下述风险提示事项重点排查，</w:t>
      </w:r>
      <w:r>
        <w:rPr>
          <w:rFonts w:eastAsia="宋体" w:cs="Times New Roman" w:hint="eastAsia"/>
          <w:b/>
          <w:bCs/>
          <w:color w:val="auto"/>
          <w:sz w:val="24"/>
          <w:lang w:val="en-US" w:eastAsia="zh-CN"/>
        </w:rPr>
        <w:t>若存在下述情况，我单位愿意依法承担被记入供应商诚信档案、罚款、取消参与政府采购资格、吊销营业执照等处罚；构成犯罪的，依法承担刑事责任。</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11"/>
        <w:gridCol w:w="781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51"/>
        </w:trPr>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序号</w:t>
            </w:r>
          </w:p>
        </w:tc>
        <w:tc>
          <w:tcPr>
            <w:tcW w:w="78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b/>
                <w:bCs/>
                <w:color w:val="auto"/>
                <w:sz w:val="24"/>
                <w:szCs w:val="24"/>
                <w:highlight w:val="none"/>
                <w:lang w:val="en-US" w:eastAsia="zh-CN"/>
              </w:rPr>
              <w:t>供应商参与投标禁止情形</w:t>
            </w:r>
          </w:p>
        </w:tc>
      </w:tr>
      <w:tr>
        <w:tblPrEx>
          <w:tblW w:w="0" w:type="auto"/>
          <w:tblInd w:w="0" w:type="dxa"/>
          <w:tblCellMar>
            <w:top w:w="0" w:type="dxa"/>
            <w:left w:w="108" w:type="dxa"/>
            <w:bottom w:w="0" w:type="dxa"/>
            <w:right w:w="108" w:type="dxa"/>
          </w:tblCellMar>
        </w:tblPrEx>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1</w:t>
            </w:r>
          </w:p>
        </w:tc>
        <w:tc>
          <w:tcPr>
            <w:tcW w:w="78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与其他投标供应商的法定代表人、主要经营负责人、投标授权代表人、项目负责人、主要技术人员为</w:t>
            </w:r>
            <w:r>
              <w:rPr>
                <w:rFonts w:ascii="仿宋_GB2312" w:eastAsia="仿宋_GB2312" w:hAnsi="仿宋_GB2312" w:cs="仿宋_GB2312" w:hint="eastAsia"/>
                <w:b/>
                <w:bCs/>
                <w:color w:val="auto"/>
                <w:sz w:val="24"/>
                <w:szCs w:val="24"/>
                <w:highlight w:val="none"/>
                <w:lang w:val="en-US" w:eastAsia="zh-CN"/>
              </w:rPr>
              <w:t>同一人、属同一单位或者在同一单位缴纳社会保险</w:t>
            </w:r>
            <w:r>
              <w:rPr>
                <w:rFonts w:ascii="仿宋_GB2312" w:eastAsia="仿宋_GB2312" w:hAnsi="仿宋_GB2312" w:cs="仿宋_GB2312" w:hint="eastAsia"/>
                <w:color w:val="auto"/>
                <w:sz w:val="24"/>
                <w:szCs w:val="24"/>
                <w:highlight w:val="none"/>
                <w:lang w:val="en-US" w:eastAsia="zh-CN"/>
              </w:rPr>
              <w:t>。</w:t>
            </w:r>
          </w:p>
        </w:tc>
      </w:tr>
      <w:tr>
        <w:tblPrEx>
          <w:tblW w:w="0" w:type="auto"/>
          <w:tblInd w:w="0" w:type="dxa"/>
          <w:tblCellMar>
            <w:top w:w="0" w:type="dxa"/>
            <w:left w:w="108" w:type="dxa"/>
            <w:bottom w:w="0" w:type="dxa"/>
            <w:right w:w="108" w:type="dxa"/>
          </w:tblCellMar>
        </w:tblPrEx>
        <w:trPr>
          <w:trHeight w:val="90"/>
        </w:trPr>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2</w:t>
            </w:r>
          </w:p>
        </w:tc>
        <w:tc>
          <w:tcPr>
            <w:tcW w:w="78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参与本项目政府采购活动时，与其他投标供应商存在单位负责人为</w:t>
            </w:r>
            <w:r>
              <w:rPr>
                <w:rFonts w:ascii="仿宋_GB2312" w:eastAsia="仿宋_GB2312" w:hAnsi="仿宋_GB2312" w:cs="仿宋_GB2312" w:hint="eastAsia"/>
                <w:b/>
                <w:bCs/>
                <w:color w:val="auto"/>
                <w:sz w:val="24"/>
                <w:szCs w:val="24"/>
                <w:highlight w:val="none"/>
                <w:lang w:val="en-US" w:eastAsia="zh-CN"/>
              </w:rPr>
              <w:t>同一人或直接控股、管理关系</w:t>
            </w:r>
            <w:r>
              <w:rPr>
                <w:rFonts w:ascii="仿宋_GB2312" w:eastAsia="仿宋_GB2312" w:hAnsi="仿宋_GB2312" w:cs="仿宋_GB2312" w:hint="eastAsia"/>
                <w:color w:val="auto"/>
                <w:sz w:val="24"/>
                <w:szCs w:val="24"/>
                <w:highlight w:val="none"/>
                <w:lang w:val="en-US" w:eastAsia="zh-CN"/>
              </w:rPr>
              <w:t>。</w:t>
            </w:r>
          </w:p>
        </w:tc>
      </w:tr>
      <w:tr>
        <w:tblPrEx>
          <w:tblW w:w="0" w:type="auto"/>
          <w:tblInd w:w="0" w:type="dxa"/>
          <w:tblCellMar>
            <w:top w:w="0" w:type="dxa"/>
            <w:left w:w="108" w:type="dxa"/>
            <w:bottom w:w="0" w:type="dxa"/>
            <w:right w:w="108" w:type="dxa"/>
          </w:tblCellMar>
        </w:tblPrEx>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3</w:t>
            </w:r>
          </w:p>
        </w:tc>
        <w:tc>
          <w:tcPr>
            <w:tcW w:w="78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与其他投标供应商的投标文件或部分投标文件</w:t>
            </w:r>
            <w:r>
              <w:rPr>
                <w:rFonts w:ascii="仿宋_GB2312" w:eastAsia="仿宋_GB2312" w:hAnsi="仿宋_GB2312" w:cs="仿宋_GB2312" w:hint="eastAsia"/>
                <w:b/>
                <w:bCs/>
                <w:color w:val="auto"/>
                <w:sz w:val="24"/>
                <w:szCs w:val="24"/>
                <w:highlight w:val="none"/>
                <w:lang w:val="en-US" w:eastAsia="zh-CN"/>
              </w:rPr>
              <w:t>相互混装或存在非正常一致</w:t>
            </w:r>
            <w:r>
              <w:rPr>
                <w:rFonts w:ascii="仿宋_GB2312" w:eastAsia="仿宋_GB2312" w:hAnsi="仿宋_GB2312" w:cs="仿宋_GB2312" w:hint="eastAsia"/>
                <w:color w:val="auto"/>
                <w:sz w:val="24"/>
                <w:szCs w:val="24"/>
                <w:highlight w:val="none"/>
                <w:lang w:val="en-US" w:eastAsia="zh-CN"/>
              </w:rPr>
              <w:t>。</w:t>
            </w:r>
          </w:p>
        </w:tc>
      </w:tr>
      <w:tr>
        <w:tblPrEx>
          <w:tblW w:w="0" w:type="auto"/>
          <w:tblInd w:w="0" w:type="dxa"/>
          <w:tblCellMar>
            <w:top w:w="0" w:type="dxa"/>
            <w:left w:w="108" w:type="dxa"/>
            <w:bottom w:w="0" w:type="dxa"/>
            <w:right w:w="108" w:type="dxa"/>
          </w:tblCellMar>
        </w:tblPrEx>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default"/>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4</w:t>
            </w:r>
          </w:p>
        </w:tc>
        <w:tc>
          <w:tcPr>
            <w:tcW w:w="78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eastAsia="仿宋_GB2312" w:hAnsi="仿宋_GB2312" w:cs="仿宋_GB2312" w:hint="eastAsia"/>
                <w:color w:val="auto"/>
                <w:kern w:val="2"/>
                <w:sz w:val="24"/>
                <w:szCs w:val="24"/>
                <w:highlight w:val="none"/>
                <w:lang w:val="en-US" w:eastAsia="zh-CN" w:bidi="ar-SA"/>
              </w:rPr>
            </w:pPr>
            <w:r>
              <w:rPr>
                <w:rFonts w:ascii="仿宋_GB2312" w:eastAsia="仿宋_GB2312" w:hAnsi="仿宋_GB2312" w:cs="仿宋_GB2312" w:hint="eastAsia"/>
                <w:color w:val="auto"/>
                <w:sz w:val="24"/>
                <w:szCs w:val="24"/>
                <w:highlight w:val="none"/>
                <w:lang w:val="en-US" w:eastAsia="zh-CN"/>
              </w:rPr>
              <w:t>与其他投标供应商的投标文件由</w:t>
            </w:r>
            <w:r>
              <w:rPr>
                <w:rFonts w:ascii="仿宋_GB2312" w:eastAsia="仿宋_GB2312" w:hAnsi="仿宋_GB2312" w:cs="仿宋_GB2312" w:hint="eastAsia"/>
                <w:b/>
                <w:bCs/>
                <w:color w:val="auto"/>
                <w:sz w:val="24"/>
                <w:szCs w:val="24"/>
                <w:highlight w:val="none"/>
                <w:lang w:val="en-US" w:eastAsia="zh-CN"/>
              </w:rPr>
              <w:t>同一单位或者同一人编制</w:t>
            </w:r>
            <w:r>
              <w:rPr>
                <w:rFonts w:ascii="仿宋_GB2312" w:eastAsia="仿宋_GB2312" w:hAnsi="仿宋_GB2312" w:cs="仿宋_GB2312" w:hint="eastAsia"/>
                <w:color w:val="auto"/>
                <w:sz w:val="24"/>
                <w:szCs w:val="24"/>
                <w:highlight w:val="none"/>
                <w:lang w:val="en-US" w:eastAsia="zh-CN"/>
              </w:rPr>
              <w:t>，或者使用</w:t>
            </w:r>
            <w:r>
              <w:rPr>
                <w:rFonts w:ascii="仿宋_GB2312" w:eastAsia="仿宋_GB2312" w:hAnsi="仿宋_GB2312" w:cs="仿宋_GB2312" w:hint="eastAsia"/>
                <w:b/>
                <w:bCs/>
                <w:color w:val="auto"/>
                <w:sz w:val="24"/>
                <w:szCs w:val="24"/>
                <w:highlight w:val="none"/>
                <w:lang w:val="en-US" w:eastAsia="zh-CN"/>
              </w:rPr>
              <w:t>同一设备编制</w:t>
            </w:r>
            <w:r>
              <w:rPr>
                <w:rFonts w:ascii="仿宋_GB2312" w:eastAsia="仿宋_GB2312" w:hAnsi="仿宋_GB2312" w:cs="仿宋_GB2312" w:hint="eastAsia"/>
                <w:color w:val="auto"/>
                <w:sz w:val="24"/>
                <w:szCs w:val="24"/>
                <w:highlight w:val="none"/>
                <w:lang w:val="en-US" w:eastAsia="zh-CN"/>
              </w:rPr>
              <w:t>（“文件制作机器码”“文件创建标识码”一致）。</w:t>
            </w:r>
          </w:p>
        </w:tc>
      </w:tr>
      <w:tr>
        <w:tblPrEx>
          <w:tblW w:w="0" w:type="auto"/>
          <w:tblInd w:w="0" w:type="dxa"/>
          <w:tblCellMar>
            <w:top w:w="0" w:type="dxa"/>
            <w:left w:w="108" w:type="dxa"/>
            <w:bottom w:w="0" w:type="dxa"/>
            <w:right w:w="108" w:type="dxa"/>
          </w:tblCellMar>
        </w:tblPrEx>
        <w:trPr>
          <w:trHeight w:val="90"/>
        </w:trPr>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default"/>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5</w:t>
            </w:r>
          </w:p>
        </w:tc>
        <w:tc>
          <w:tcPr>
            <w:tcW w:w="78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eastAsia="仿宋_GB2312" w:hAnsi="仿宋_GB2312" w:cs="仿宋_GB2312" w:hint="eastAsia"/>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提供</w:t>
            </w:r>
            <w:r>
              <w:rPr>
                <w:rFonts w:ascii="仿宋_GB2312" w:eastAsia="仿宋_GB2312" w:hAnsi="仿宋_GB2312" w:cs="仿宋_GB2312" w:hint="eastAsia"/>
                <w:b/>
                <w:bCs/>
                <w:color w:val="auto"/>
                <w:sz w:val="24"/>
                <w:szCs w:val="24"/>
                <w:highlight w:val="none"/>
                <w:lang w:val="en-US" w:eastAsia="zh-CN"/>
              </w:rPr>
              <w:t>未经出具机构核实</w:t>
            </w:r>
            <w:r>
              <w:rPr>
                <w:rFonts w:ascii="仿宋_GB2312" w:eastAsia="仿宋_GB2312" w:hAnsi="仿宋_GB2312" w:cs="仿宋_GB2312" w:hint="eastAsia"/>
                <w:color w:val="auto"/>
                <w:sz w:val="24"/>
                <w:szCs w:val="24"/>
                <w:highlight w:val="none"/>
                <w:lang w:val="en-US" w:eastAsia="zh-CN"/>
              </w:rPr>
              <w:t>的虚假的检验检测报告、业绩材料、社保缴纳证明、学历学位证书、职称认证证书等材料。</w:t>
            </w:r>
          </w:p>
        </w:tc>
      </w:tr>
      <w:tr>
        <w:tblPrEx>
          <w:tblW w:w="0" w:type="auto"/>
          <w:tblInd w:w="0" w:type="dxa"/>
          <w:tblCellMar>
            <w:top w:w="0" w:type="dxa"/>
            <w:left w:w="108" w:type="dxa"/>
            <w:bottom w:w="0" w:type="dxa"/>
            <w:right w:w="108" w:type="dxa"/>
          </w:tblCellMar>
        </w:tblPrEx>
        <w:tc>
          <w:tcPr>
            <w:tcW w:w="7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hAnsi="仿宋_GB2312" w:cs="仿宋_GB2312" w:hint="default"/>
                <w:color w:val="auto"/>
                <w:sz w:val="24"/>
                <w:szCs w:val="24"/>
                <w:highlight w:val="none"/>
                <w:lang w:val="en-US" w:eastAsia="zh-CN"/>
              </w:rPr>
            </w:pPr>
            <w:r>
              <w:rPr>
                <w:rFonts w:ascii="仿宋_GB2312" w:eastAsia="仿宋_GB2312" w:hAnsi="仿宋_GB2312" w:cs="仿宋_GB2312" w:hint="eastAsia"/>
                <w:color w:val="auto"/>
                <w:sz w:val="24"/>
                <w:szCs w:val="24"/>
                <w:highlight w:val="none"/>
                <w:lang w:val="en-US" w:eastAsia="zh-CN"/>
              </w:rPr>
              <w:t>6</w:t>
            </w:r>
          </w:p>
        </w:tc>
        <w:tc>
          <w:tcPr>
            <w:tcW w:w="78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仿宋_GB2312" w:eastAsia="仿宋_GB2312" w:hAnsi="仿宋_GB2312" w:cs="仿宋_GB2312" w:hint="eastAsia"/>
                <w:color w:val="auto"/>
                <w:kern w:val="2"/>
                <w:sz w:val="24"/>
                <w:szCs w:val="24"/>
                <w:highlight w:val="none"/>
                <w:lang w:val="en-US" w:eastAsia="zh-CN" w:bidi="ar-SA"/>
              </w:rPr>
            </w:pPr>
            <w:r>
              <w:rPr>
                <w:rFonts w:ascii="仿宋_GB2312" w:eastAsia="仿宋_GB2312" w:hAnsi="仿宋_GB2312" w:cs="仿宋_GB2312" w:hint="eastAsia"/>
                <w:color w:val="auto"/>
                <w:sz w:val="24"/>
                <w:szCs w:val="24"/>
                <w:highlight w:val="none"/>
                <w:lang w:val="en-US" w:eastAsia="zh-CN"/>
              </w:rPr>
              <w:t>擅自将投标密钥或电子营业执照出借他人使用或未妥善保管。</w:t>
            </w:r>
          </w:p>
        </w:tc>
      </w:tr>
    </w:tbl>
    <w:p>
      <w:pPr>
        <w:spacing w:before="156" w:beforeLines="50" w:line="380" w:lineRule="exact"/>
        <w:ind w:firstLine="420" w:firstLineChars="200"/>
        <w:rPr>
          <w:b/>
          <w:color w:val="auto"/>
        </w:rPr>
      </w:pPr>
      <w:r>
        <w:rPr>
          <w:rFonts w:hint="eastAsia"/>
          <w:b/>
          <w:color w:val="auto"/>
        </w:rPr>
        <w:t>一、</w:t>
      </w:r>
      <w:r>
        <w:rPr>
          <w:rFonts w:hint="eastAsia"/>
          <w:b/>
          <w:color w:val="auto"/>
          <w:lang w:eastAsia="zh-CN"/>
        </w:rPr>
        <w:t>我</w:t>
      </w:r>
      <w:r>
        <w:rPr>
          <w:rFonts w:hint="eastAsia"/>
          <w:b/>
          <w:color w:val="auto"/>
          <w:lang w:val="en-US" w:eastAsia="zh-CN"/>
        </w:rPr>
        <w:t>单位</w:t>
      </w:r>
      <w:r>
        <w:rPr>
          <w:rFonts w:hint="eastAsia"/>
          <w:b/>
          <w:color w:val="auto"/>
        </w:rPr>
        <w:t>已充分知悉“隐瞒真实情况，提供虚假资料”的法定情形，包括但不限于：</w:t>
      </w:r>
    </w:p>
    <w:p>
      <w:pPr>
        <w:spacing w:beforeLines="0" w:line="380" w:lineRule="exact"/>
        <w:ind w:firstLine="420" w:firstLineChars="200"/>
        <w:rPr>
          <w:color w:val="auto"/>
        </w:rPr>
      </w:pPr>
      <w:r>
        <w:rPr>
          <w:rFonts w:hint="eastAsia"/>
          <w:color w:val="auto"/>
        </w:rPr>
        <w:t>（一）通过转让或者租借等方式从其他单位获取资格或者资质证书投标的</w:t>
      </w:r>
      <w:r>
        <w:rPr>
          <w:rFonts w:hint="eastAsia"/>
          <w:color w:val="auto"/>
          <w:highlight w:val="none"/>
        </w:rPr>
        <w:t>。</w:t>
      </w:r>
    </w:p>
    <w:p>
      <w:pPr>
        <w:spacing w:beforeLines="0" w:line="380" w:lineRule="exact"/>
        <w:ind w:firstLine="420" w:firstLineChars="200"/>
        <w:rPr>
          <w:color w:val="auto"/>
        </w:rPr>
      </w:pPr>
      <w:r>
        <w:rPr>
          <w:rFonts w:hint="eastAsia"/>
          <w:color w:val="auto"/>
        </w:rPr>
        <w:t>（二）由其他单位或者其他单位负责人在投标供应商编制的投标文件上加盖印章或者签字的。</w:t>
      </w:r>
    </w:p>
    <w:p>
      <w:pPr>
        <w:spacing w:beforeLines="0" w:line="380" w:lineRule="exact"/>
        <w:ind w:firstLine="420" w:firstLineChars="200"/>
        <w:rPr>
          <w:color w:val="auto"/>
        </w:rPr>
      </w:pPr>
      <w:r>
        <w:rPr>
          <w:rFonts w:hint="eastAsia"/>
          <w:color w:val="auto"/>
        </w:rPr>
        <w:t>（三）项目负责人或者主要技术人员不是本单位人员的。</w:t>
      </w:r>
    </w:p>
    <w:p>
      <w:pPr>
        <w:spacing w:beforeLines="0" w:line="380" w:lineRule="exact"/>
        <w:ind w:firstLine="420" w:firstLineChars="200"/>
        <w:rPr>
          <w:color w:val="auto"/>
        </w:rPr>
      </w:pPr>
      <w:r>
        <w:rPr>
          <w:rFonts w:hint="eastAsia"/>
          <w:color w:val="auto"/>
        </w:rPr>
        <w:t>（四）投标保证金不是从投标供应商基本账户转出的。</w:t>
      </w:r>
    </w:p>
    <w:p>
      <w:pPr>
        <w:spacing w:beforeLines="0" w:line="380" w:lineRule="exact"/>
        <w:ind w:firstLine="420" w:firstLineChars="200"/>
        <w:rPr>
          <w:color w:val="auto"/>
        </w:rPr>
      </w:pPr>
      <w:r>
        <w:rPr>
          <w:rFonts w:hint="eastAsia"/>
          <w:color w:val="auto"/>
        </w:rPr>
        <w:t>（五）其他隐瞒真实情况、提供虚假资料的行为。</w:t>
      </w:r>
    </w:p>
    <w:p>
      <w:pPr>
        <w:spacing w:beforeLines="0" w:line="380" w:lineRule="exact"/>
        <w:ind w:firstLine="420" w:firstLineChars="200"/>
        <w:rPr>
          <w:b/>
          <w:color w:val="auto"/>
        </w:rPr>
      </w:pPr>
      <w:r>
        <w:rPr>
          <w:rFonts w:hint="eastAsia"/>
          <w:b/>
          <w:color w:val="auto"/>
        </w:rPr>
        <w:t>二、</w:t>
      </w:r>
      <w:r>
        <w:rPr>
          <w:rFonts w:hint="eastAsia"/>
          <w:b/>
          <w:color w:val="auto"/>
          <w:lang w:eastAsia="zh-CN"/>
        </w:rPr>
        <w:t>我</w:t>
      </w:r>
      <w:r>
        <w:rPr>
          <w:rFonts w:hint="eastAsia"/>
          <w:b/>
          <w:color w:val="auto"/>
          <w:lang w:val="en-US" w:eastAsia="zh-CN"/>
        </w:rPr>
        <w:t>单位</w:t>
      </w:r>
      <w:r>
        <w:rPr>
          <w:rFonts w:hint="eastAsia"/>
          <w:b/>
          <w:color w:val="auto"/>
        </w:rPr>
        <w:t>已充分知悉“与其他采购参加人串通投标”的法定情形，包括但不限于：</w:t>
      </w:r>
    </w:p>
    <w:p>
      <w:pPr>
        <w:spacing w:beforeLines="0" w:line="380" w:lineRule="exact"/>
        <w:ind w:firstLine="420" w:firstLineChars="200"/>
        <w:rPr>
          <w:color w:val="auto"/>
        </w:rPr>
      </w:pPr>
      <w:r>
        <w:rPr>
          <w:rFonts w:hint="eastAsia"/>
          <w:color w:val="auto"/>
        </w:rPr>
        <w:t>（一）投标供应商之间相互约定给予未中标的供应商利益补偿。</w:t>
      </w:r>
    </w:p>
    <w:p>
      <w:pPr>
        <w:spacing w:beforeLines="0" w:line="380" w:lineRule="exact"/>
        <w:ind w:firstLine="420" w:firstLineChars="200"/>
        <w:rPr>
          <w:color w:val="auto"/>
        </w:rPr>
      </w:pPr>
      <w:r>
        <w:rPr>
          <w:rFonts w:hint="eastAsia"/>
          <w:color w:val="auto"/>
        </w:rPr>
        <w:t>（二）不同投标供应商的法定代表人、主要经营负责人、项目投标授权代表人、项目负责人、主要技术人员为同一人、属同一单位或者在同一单位缴纳社会保险。</w:t>
      </w:r>
    </w:p>
    <w:p>
      <w:pPr>
        <w:spacing w:beforeLines="0" w:line="340" w:lineRule="exact"/>
        <w:ind w:firstLine="420" w:firstLineChars="200"/>
        <w:rPr>
          <w:color w:val="auto"/>
        </w:rPr>
      </w:pPr>
      <w:r>
        <w:rPr>
          <w:rFonts w:hint="eastAsia"/>
          <w:color w:val="auto"/>
        </w:rPr>
        <w:t>（三）不同投标供应商的投标文件由同一单位或者同一人编制，或者由同一人分阶段参与编制的。</w:t>
      </w:r>
    </w:p>
    <w:p>
      <w:pPr>
        <w:spacing w:beforeLines="0" w:line="340" w:lineRule="exact"/>
        <w:ind w:firstLine="420" w:firstLineChars="200"/>
        <w:rPr>
          <w:color w:val="auto"/>
        </w:rPr>
      </w:pPr>
      <w:r>
        <w:rPr>
          <w:rFonts w:hint="eastAsia"/>
          <w:color w:val="auto"/>
        </w:rPr>
        <w:t>（四）不同投标供应商的投标文件或部分投标文件相互混装。</w:t>
      </w:r>
    </w:p>
    <w:p>
      <w:pPr>
        <w:spacing w:beforeLines="0" w:line="340" w:lineRule="exact"/>
        <w:ind w:firstLine="420" w:firstLineChars="200"/>
        <w:rPr>
          <w:color w:val="auto"/>
        </w:rPr>
      </w:pPr>
      <w:r>
        <w:rPr>
          <w:rFonts w:hint="eastAsia"/>
          <w:color w:val="auto"/>
        </w:rPr>
        <w:t>（五）不同投标供应商的投标文件内容存在非正常一致。</w:t>
      </w:r>
    </w:p>
    <w:p>
      <w:pPr>
        <w:spacing w:beforeLines="0" w:line="340" w:lineRule="exact"/>
        <w:ind w:firstLine="420" w:firstLineChars="200"/>
        <w:rPr>
          <w:color w:val="auto"/>
        </w:rPr>
      </w:pPr>
      <w:r>
        <w:rPr>
          <w:rFonts w:hint="eastAsia"/>
          <w:color w:val="auto"/>
        </w:rPr>
        <w:t>（六）由同一单位工作人员为两家以上（含两家）供应商进行同一项投标活动的。</w:t>
      </w:r>
    </w:p>
    <w:p>
      <w:pPr>
        <w:spacing w:beforeLines="0" w:line="340" w:lineRule="exact"/>
        <w:ind w:firstLine="420" w:firstLineChars="200"/>
        <w:rPr>
          <w:color w:val="auto"/>
        </w:rPr>
      </w:pPr>
      <w:r>
        <w:rPr>
          <w:rFonts w:hint="eastAsia"/>
          <w:color w:val="auto"/>
        </w:rPr>
        <w:t>（七）不同投标人的投标报价呈规律性差异。</w:t>
      </w:r>
    </w:p>
    <w:p>
      <w:pPr>
        <w:spacing w:beforeLines="0" w:line="340" w:lineRule="exact"/>
        <w:ind w:firstLine="420" w:firstLineChars="200"/>
        <w:rPr>
          <w:color w:val="auto"/>
        </w:rPr>
      </w:pPr>
      <w:r>
        <w:rPr>
          <w:rFonts w:hint="eastAsia"/>
          <w:color w:val="auto"/>
        </w:rPr>
        <w:t>（八）不同投标人的投标保证金从同一单位或者个人的账户转出。</w:t>
      </w:r>
    </w:p>
    <w:p>
      <w:pPr>
        <w:spacing w:beforeLines="0" w:line="340" w:lineRule="exact"/>
        <w:ind w:firstLine="420" w:firstLineChars="200"/>
        <w:rPr>
          <w:color w:val="auto"/>
        </w:rPr>
      </w:pPr>
      <w:r>
        <w:rPr>
          <w:rFonts w:hint="eastAsia"/>
          <w:color w:val="auto"/>
        </w:rPr>
        <w:t>（九）主管部门依照法律、法规认定的其他情形。</w:t>
      </w:r>
    </w:p>
    <w:p>
      <w:pPr>
        <w:spacing w:beforeLines="0" w:line="340" w:lineRule="exact"/>
        <w:ind w:firstLine="420" w:firstLineChars="200"/>
        <w:rPr>
          <w:b/>
          <w:color w:val="auto"/>
        </w:rPr>
      </w:pPr>
      <w:r>
        <w:rPr>
          <w:rFonts w:hint="eastAsia"/>
          <w:b/>
          <w:color w:val="auto"/>
        </w:rPr>
        <w:t>三、</w:t>
      </w:r>
      <w:r>
        <w:rPr>
          <w:rFonts w:hint="eastAsia"/>
          <w:b/>
          <w:color w:val="auto"/>
          <w:lang w:eastAsia="zh-CN"/>
        </w:rPr>
        <w:t>我</w:t>
      </w:r>
      <w:r>
        <w:rPr>
          <w:rFonts w:hint="eastAsia"/>
          <w:b/>
          <w:color w:val="auto"/>
          <w:lang w:val="en-US" w:eastAsia="zh-CN"/>
        </w:rPr>
        <w:t>单位</w:t>
      </w:r>
      <w:r>
        <w:rPr>
          <w:rFonts w:hint="eastAsia"/>
          <w:b/>
          <w:color w:val="auto"/>
        </w:rPr>
        <w:t>已充分知悉下列情形</w:t>
      </w:r>
      <w:r>
        <w:rPr>
          <w:rFonts w:hint="eastAsia"/>
          <w:b/>
          <w:color w:val="auto"/>
          <w:lang w:eastAsia="zh-CN"/>
        </w:rPr>
        <w:t>存在</w:t>
      </w:r>
      <w:r>
        <w:rPr>
          <w:rFonts w:hint="eastAsia"/>
          <w:b/>
          <w:color w:val="auto"/>
        </w:rPr>
        <w:t>法律风险，在投标前已对相关风险事项进行排</w:t>
      </w:r>
      <w:r>
        <w:rPr>
          <w:rFonts w:hint="eastAsia"/>
          <w:b/>
          <w:color w:val="auto"/>
          <w:highlight w:val="none"/>
        </w:rPr>
        <w:t>查。</w:t>
      </w:r>
    </w:p>
    <w:p>
      <w:pPr>
        <w:spacing w:beforeLines="0" w:line="340" w:lineRule="exact"/>
        <w:ind w:firstLine="420" w:firstLineChars="200"/>
        <w:rPr>
          <w:b/>
          <w:color w:val="auto"/>
        </w:rPr>
      </w:pPr>
      <w:r>
        <w:rPr>
          <w:rFonts w:hint="eastAsia"/>
          <w:color w:val="auto"/>
        </w:rPr>
        <w:t>（一）对于从其他主体获取的投标资料，</w:t>
      </w:r>
      <w:r>
        <w:rPr>
          <w:rFonts w:hint="eastAsia"/>
          <w:color w:val="auto"/>
          <w:lang w:eastAsia="zh-CN"/>
        </w:rPr>
        <w:t>我</w:t>
      </w:r>
      <w:r>
        <w:rPr>
          <w:rFonts w:hint="eastAsia"/>
          <w:color w:val="auto"/>
          <w:lang w:val="en-US" w:eastAsia="zh-CN"/>
        </w:rPr>
        <w:t>单位</w:t>
      </w:r>
      <w:r>
        <w:rPr>
          <w:rFonts w:hint="eastAsia"/>
          <w:color w:val="auto"/>
        </w:rPr>
        <w:t>应审慎核查，确保</w:t>
      </w:r>
      <w:r>
        <w:rPr>
          <w:rFonts w:hint="eastAsia"/>
          <w:color w:val="auto"/>
          <w:lang w:eastAsia="zh-CN"/>
        </w:rPr>
        <w:t>其</w:t>
      </w:r>
      <w:r>
        <w:rPr>
          <w:rFonts w:hint="eastAsia"/>
          <w:color w:val="auto"/>
        </w:rPr>
        <w:t>真实性。</w:t>
      </w:r>
      <w:r>
        <w:rPr>
          <w:rFonts w:hint="eastAsia"/>
          <w:b/>
          <w:color w:val="auto"/>
        </w:rPr>
        <w:t>如主管部门查实投标文件中存在虚假资料的，无论相关资料是否由第三方或本公司员工提供，均不影响主管部门对供应商存在“隐瞒真实情况，提供虚假资料”违法行为的认定。</w:t>
      </w:r>
    </w:p>
    <w:p>
      <w:pPr>
        <w:spacing w:beforeLines="0" w:line="340" w:lineRule="exact"/>
        <w:ind w:firstLine="420" w:firstLineChars="200"/>
        <w:rPr>
          <w:color w:val="auto"/>
        </w:rPr>
      </w:pPr>
      <w:r>
        <w:rPr>
          <w:rFonts w:hint="eastAsia"/>
          <w:color w:val="auto"/>
        </w:rPr>
        <w:t>（二）对于涉及国家机关出具的公文、证件、证明材料等文件，一旦涉嫌虚假，经查实，主管部门将依法从严处理，并移送有关部门追究法律责任；涉嫌犯罪的，移送司法机关</w:t>
      </w:r>
      <w:r>
        <w:rPr>
          <w:rFonts w:hint="eastAsia"/>
          <w:color w:val="auto"/>
          <w:lang w:eastAsia="zh-CN"/>
        </w:rPr>
        <w:t>处理</w:t>
      </w:r>
      <w:r>
        <w:rPr>
          <w:rFonts w:hint="eastAsia"/>
          <w:color w:val="auto"/>
        </w:rPr>
        <w:t>。</w:t>
      </w:r>
    </w:p>
    <w:p>
      <w:pPr>
        <w:spacing w:beforeLines="0" w:line="340" w:lineRule="exact"/>
        <w:ind w:firstLine="420" w:firstLineChars="200"/>
        <w:rPr>
          <w:color w:val="auto"/>
        </w:rPr>
      </w:pPr>
      <w:r>
        <w:rPr>
          <w:rFonts w:hint="eastAsia"/>
          <w:color w:val="auto"/>
        </w:rPr>
        <w:t>（</w:t>
      </w:r>
      <w:r>
        <w:rPr>
          <w:rFonts w:hint="eastAsia"/>
          <w:color w:val="auto"/>
          <w:lang w:eastAsia="zh-CN"/>
        </w:rPr>
        <w:t>三</w:t>
      </w:r>
      <w:r>
        <w:rPr>
          <w:rFonts w:hint="eastAsia"/>
          <w:color w:val="auto"/>
        </w:rPr>
        <w:t>）</w:t>
      </w:r>
      <w:r>
        <w:rPr>
          <w:rFonts w:hint="eastAsia"/>
          <w:color w:val="auto"/>
          <w:lang w:eastAsia="zh-CN"/>
        </w:rPr>
        <w:t>我</w:t>
      </w:r>
      <w:r>
        <w:rPr>
          <w:rFonts w:hint="eastAsia"/>
          <w:color w:val="auto"/>
          <w:lang w:val="en-US" w:eastAsia="zh-CN"/>
        </w:rPr>
        <w:t>单位</w:t>
      </w:r>
      <w:r>
        <w:rPr>
          <w:rFonts w:hint="eastAsia"/>
          <w:color w:val="auto"/>
        </w:rPr>
        <w:t>对投标电子密钥</w:t>
      </w:r>
      <w:r>
        <w:rPr>
          <w:rFonts w:hint="eastAsia"/>
          <w:color w:val="auto"/>
          <w:lang w:eastAsia="zh-CN"/>
        </w:rPr>
        <w:t>或</w:t>
      </w:r>
      <w:r>
        <w:rPr>
          <w:rFonts w:hint="eastAsia"/>
          <w:color w:val="auto"/>
          <w:lang w:val="en-US" w:eastAsia="zh-CN"/>
        </w:rPr>
        <w:t>电子营业执照</w:t>
      </w:r>
      <w:r>
        <w:rPr>
          <w:rFonts w:hint="eastAsia"/>
          <w:color w:val="auto"/>
        </w:rPr>
        <w:t>负有妥善保管、及时变更和续期等主体责任</w:t>
      </w:r>
      <w:r>
        <w:rPr>
          <w:rFonts w:hint="eastAsia"/>
          <w:color w:val="auto"/>
          <w:lang w:eastAsia="zh-CN"/>
        </w:rPr>
        <w:t>；</w:t>
      </w:r>
      <w:r>
        <w:rPr>
          <w:rFonts w:hint="eastAsia"/>
          <w:color w:val="auto"/>
        </w:rPr>
        <w:t>使用电子密钥</w:t>
      </w:r>
      <w:r>
        <w:rPr>
          <w:rFonts w:hint="eastAsia"/>
          <w:color w:val="auto"/>
          <w:lang w:eastAsia="zh-CN"/>
        </w:rPr>
        <w:t>或</w:t>
      </w:r>
      <w:r>
        <w:rPr>
          <w:rFonts w:hint="eastAsia"/>
          <w:color w:val="auto"/>
          <w:lang w:val="en-US" w:eastAsia="zh-CN"/>
        </w:rPr>
        <w:t>电子营业执照</w:t>
      </w:r>
      <w:r>
        <w:rPr>
          <w:rFonts w:hint="eastAsia"/>
          <w:color w:val="auto"/>
        </w:rPr>
        <w:t>在深圳政府采购网站进行的活动，均具有法律效力，须承担相应的法律后果。</w:t>
      </w:r>
      <w:r>
        <w:rPr>
          <w:rFonts w:hint="eastAsia"/>
          <w:color w:val="auto"/>
          <w:lang w:eastAsia="zh-CN"/>
        </w:rPr>
        <w:t>若</w:t>
      </w:r>
      <w:r>
        <w:rPr>
          <w:rFonts w:hint="eastAsia"/>
          <w:b/>
          <w:bCs/>
          <w:color w:val="auto"/>
        </w:rPr>
        <w:t>擅自将投标密钥</w:t>
      </w:r>
      <w:r>
        <w:rPr>
          <w:rFonts w:hint="eastAsia"/>
          <w:b/>
          <w:bCs/>
          <w:color w:val="auto"/>
          <w:lang w:eastAsia="zh-CN"/>
        </w:rPr>
        <w:t>或</w:t>
      </w:r>
      <w:r>
        <w:rPr>
          <w:rFonts w:hint="eastAsia"/>
          <w:b/>
          <w:bCs/>
          <w:color w:val="auto"/>
          <w:lang w:val="en-US" w:eastAsia="zh-CN"/>
        </w:rPr>
        <w:t>电子营业执照</w:t>
      </w:r>
      <w:r>
        <w:rPr>
          <w:rFonts w:hint="eastAsia"/>
          <w:b/>
          <w:bCs/>
          <w:color w:val="auto"/>
        </w:rPr>
        <w:t>出借他人使用所造成的法律后果，由</w:t>
      </w:r>
      <w:r>
        <w:rPr>
          <w:rFonts w:hint="eastAsia"/>
          <w:b/>
          <w:bCs/>
          <w:color w:val="auto"/>
          <w:lang w:eastAsia="zh-CN"/>
        </w:rPr>
        <w:t>我</w:t>
      </w:r>
      <w:r>
        <w:rPr>
          <w:rFonts w:hint="eastAsia"/>
          <w:b/>
          <w:bCs/>
          <w:color w:val="auto"/>
          <w:lang w:val="en-US" w:eastAsia="zh-CN"/>
        </w:rPr>
        <w:t>单位</w:t>
      </w:r>
      <w:r>
        <w:rPr>
          <w:rFonts w:hint="eastAsia"/>
          <w:b/>
          <w:bCs/>
          <w:color w:val="auto"/>
        </w:rPr>
        <w:t>自行承担</w:t>
      </w:r>
      <w:r>
        <w:rPr>
          <w:rFonts w:hint="eastAsia"/>
          <w:color w:val="auto"/>
        </w:rPr>
        <w:t>。</w:t>
      </w:r>
    </w:p>
    <w:p>
      <w:pPr>
        <w:spacing w:beforeLines="0" w:line="340" w:lineRule="exact"/>
        <w:ind w:firstLine="420" w:firstLineChars="200"/>
        <w:rPr>
          <w:b/>
          <w:color w:val="auto"/>
        </w:rPr>
      </w:pPr>
      <w:r>
        <w:rPr>
          <w:rFonts w:hint="eastAsia"/>
          <w:b/>
          <w:color w:val="auto"/>
        </w:rPr>
        <w:t>四、</w:t>
      </w:r>
      <w:r>
        <w:rPr>
          <w:rFonts w:hint="eastAsia"/>
          <w:b/>
          <w:color w:val="auto"/>
          <w:lang w:eastAsia="zh-CN"/>
        </w:rPr>
        <w:t>我</w:t>
      </w:r>
      <w:r>
        <w:rPr>
          <w:rFonts w:hint="eastAsia"/>
          <w:b/>
          <w:color w:val="auto"/>
          <w:lang w:val="en-US" w:eastAsia="zh-CN"/>
        </w:rPr>
        <w:t>单位</w:t>
      </w:r>
      <w:r>
        <w:rPr>
          <w:rFonts w:hint="eastAsia"/>
          <w:b/>
          <w:color w:val="auto"/>
        </w:rPr>
        <w:t>已充分知悉政府采购违法、违规行为的法律</w:t>
      </w:r>
      <w:r>
        <w:rPr>
          <w:rFonts w:hint="eastAsia"/>
          <w:b/>
          <w:color w:val="auto"/>
          <w:highlight w:val="none"/>
        </w:rPr>
        <w:t>后果。</w:t>
      </w:r>
    </w:p>
    <w:p>
      <w:pPr>
        <w:spacing w:beforeLines="0" w:line="340" w:lineRule="exact"/>
        <w:ind w:firstLine="420" w:firstLineChars="200"/>
        <w:rPr>
          <w:color w:val="auto"/>
          <w:highlight w:val="none"/>
        </w:rPr>
      </w:pPr>
      <w:r>
        <w:rPr>
          <w:rFonts w:hint="eastAsia"/>
          <w:color w:val="auto"/>
        </w:rPr>
        <w:t>经查实，若</w:t>
      </w:r>
      <w:r>
        <w:rPr>
          <w:rFonts w:hint="eastAsia"/>
          <w:color w:val="auto"/>
          <w:lang w:eastAsia="zh-CN"/>
        </w:rPr>
        <w:t>我</w:t>
      </w:r>
      <w:r>
        <w:rPr>
          <w:rFonts w:hint="eastAsia"/>
          <w:color w:val="auto"/>
          <w:lang w:val="en-US" w:eastAsia="zh-CN"/>
        </w:rPr>
        <w:t>单位</w:t>
      </w:r>
      <w:r>
        <w:rPr>
          <w:rFonts w:hint="eastAsia"/>
          <w:color w:val="auto"/>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color w:val="auto"/>
          <w:highlight w:val="none"/>
        </w:rPr>
        <w:t>分之二十以上千分之三十以下罚款，由市场监管部门依法吊销营业执照。</w:t>
      </w:r>
    </w:p>
    <w:p>
      <w:pPr>
        <w:spacing w:beforeLines="0" w:line="340" w:lineRule="exact"/>
        <w:ind w:firstLine="420" w:firstLineChars="200"/>
        <w:rPr>
          <w:color w:val="auto"/>
          <w:highlight w:val="none"/>
        </w:rPr>
      </w:pPr>
      <w:r>
        <w:rPr>
          <w:rFonts w:hint="eastAsia"/>
          <w:color w:val="auto"/>
          <w:highlight w:val="none"/>
        </w:rPr>
        <w:t>以下文字请投标供应商抄写并确认：“</w:t>
      </w:r>
      <w:r>
        <w:rPr>
          <w:rFonts w:hint="eastAsia"/>
          <w:color w:val="auto"/>
          <w:highlight w:val="none"/>
          <w:lang w:eastAsia="zh-CN"/>
        </w:rPr>
        <w:t>我</w:t>
      </w:r>
      <w:r>
        <w:rPr>
          <w:rFonts w:hint="eastAsia"/>
          <w:color w:val="auto"/>
          <w:lang w:val="en-US" w:eastAsia="zh-CN"/>
        </w:rPr>
        <w:t>单位</w:t>
      </w:r>
      <w:r>
        <w:rPr>
          <w:rFonts w:hint="eastAsia"/>
          <w:color w:val="auto"/>
          <w:highlight w:val="none"/>
        </w:rPr>
        <w:t>已仔细阅读《政府采购违法行为风险知悉确认书》，充分知悉违法行为的法律后果，并承诺将严谨、诚信、依法依规参与政府采购活动”。</w:t>
      </w:r>
    </w:p>
    <w:tbl>
      <w:tblPr>
        <w:tblStyle w:val="16"/>
        <w:tblW w:w="8529" w:type="dxa"/>
        <w:tblInd w:w="0" w:type="dxa"/>
        <w:tblBorders>
          <w:top w:val="nil"/>
          <w:left w:val="nil"/>
          <w:bottom w:val="single" w:sz="4" w:space="0" w:color="auto"/>
          <w:right w:val="nil"/>
          <w:insideH w:val="nil"/>
          <w:insideV w:val="nil"/>
        </w:tblBorders>
        <w:tblLayout w:type="fixed"/>
        <w:tblCellMar>
          <w:top w:w="0" w:type="dxa"/>
          <w:left w:w="108" w:type="dxa"/>
          <w:bottom w:w="0" w:type="dxa"/>
          <w:right w:w="108" w:type="dxa"/>
        </w:tblCellMar>
      </w:tblPr>
      <w:tblGrid>
        <w:gridCol w:w="8529"/>
      </w:tblGrid>
      <w:tr>
        <w:tblPrEx>
          <w:tblW w:w="8529" w:type="dxa"/>
          <w:tblInd w:w="0" w:type="dxa"/>
          <w:tblBorders>
            <w:top w:val="nil"/>
            <w:left w:val="nil"/>
            <w:bottom w:val="single" w:sz="4" w:space="0" w:color="auto"/>
            <w:right w:val="nil"/>
            <w:insideH w:val="nil"/>
            <w:insideV w:val="nil"/>
          </w:tblBorders>
          <w:tblLayout w:type="fixed"/>
          <w:tblCellMar>
            <w:top w:w="0" w:type="dxa"/>
            <w:left w:w="108" w:type="dxa"/>
            <w:bottom w:w="0" w:type="dxa"/>
            <w:right w:w="108" w:type="dxa"/>
          </w:tblCellMar>
        </w:tblPrEx>
        <w:trPr>
          <w:trHeight w:val="304"/>
        </w:trPr>
        <w:tc>
          <w:tcPr>
            <w:tcW w:w="8529" w:type="dxa"/>
            <w:tcBorders>
              <w:top w:val="nil"/>
              <w:left w:val="nil"/>
              <w:bottom w:val="single" w:sz="8" w:space="0" w:color="000000"/>
              <w:right w:val="nil"/>
            </w:tcBorders>
          </w:tcPr>
          <w:p>
            <w:pPr>
              <w:autoSpaceDE w:val="0"/>
              <w:autoSpaceDN w:val="0"/>
              <w:spacing w:beforeLines="0" w:line="340" w:lineRule="exact"/>
              <w:ind w:firstLine="1866"/>
              <w:rPr>
                <w:rFonts w:ascii="宋体" w:eastAsia="宋体" w:hAnsi="宋体"/>
                <w:color w:val="auto"/>
                <w:spacing w:val="-4"/>
                <w:kern w:val="0"/>
                <w:szCs w:val="21"/>
                <w:highlight w:val="none"/>
              </w:rPr>
            </w:pPr>
          </w:p>
        </w:tc>
      </w:tr>
      <w:tr>
        <w:tblPrEx>
          <w:tblW w:w="8529" w:type="dxa"/>
          <w:tblInd w:w="0" w:type="dxa"/>
          <w:tblLayout w:type="fixed"/>
          <w:tblCellMar>
            <w:top w:w="0" w:type="dxa"/>
            <w:left w:w="108" w:type="dxa"/>
            <w:bottom w:w="0" w:type="dxa"/>
            <w:right w:w="108" w:type="dxa"/>
          </w:tblCellMar>
        </w:tblPrEx>
        <w:tc>
          <w:tcPr>
            <w:tcW w:w="8529" w:type="dxa"/>
            <w:tcBorders>
              <w:top w:val="single" w:sz="8" w:space="0" w:color="000000"/>
              <w:left w:val="nil"/>
              <w:bottom w:val="single" w:sz="8" w:space="0" w:color="000000"/>
              <w:right w:val="nil"/>
            </w:tcBorders>
          </w:tcPr>
          <w:p>
            <w:pPr>
              <w:autoSpaceDE w:val="0"/>
              <w:autoSpaceDN w:val="0"/>
              <w:spacing w:beforeLines="0" w:line="340" w:lineRule="exact"/>
              <w:ind w:firstLine="1866"/>
              <w:rPr>
                <w:rFonts w:ascii="宋体" w:eastAsia="宋体" w:hAnsi="宋体"/>
                <w:color w:val="auto"/>
                <w:spacing w:val="-4"/>
                <w:kern w:val="0"/>
                <w:szCs w:val="21"/>
              </w:rPr>
            </w:pPr>
          </w:p>
        </w:tc>
      </w:tr>
      <w:tr>
        <w:tblPrEx>
          <w:tblW w:w="8529" w:type="dxa"/>
          <w:tblInd w:w="0" w:type="dxa"/>
          <w:tblLayout w:type="fixed"/>
          <w:tblCellMar>
            <w:top w:w="0" w:type="dxa"/>
            <w:left w:w="108" w:type="dxa"/>
            <w:bottom w:w="0" w:type="dxa"/>
            <w:right w:w="108" w:type="dxa"/>
          </w:tblCellMar>
        </w:tblPrEx>
        <w:tc>
          <w:tcPr>
            <w:tcW w:w="8529" w:type="dxa"/>
            <w:tcBorders>
              <w:top w:val="single" w:sz="8" w:space="0" w:color="000000"/>
              <w:left w:val="nil"/>
              <w:bottom w:val="single" w:sz="8" w:space="0" w:color="000000"/>
              <w:right w:val="nil"/>
            </w:tcBorders>
          </w:tcPr>
          <w:p>
            <w:pPr>
              <w:autoSpaceDE w:val="0"/>
              <w:autoSpaceDN w:val="0"/>
              <w:spacing w:beforeLines="0" w:line="340" w:lineRule="exact"/>
              <w:ind w:firstLine="1866"/>
              <w:rPr>
                <w:rFonts w:ascii="宋体" w:eastAsia="宋体" w:hAnsi="宋体"/>
                <w:color w:val="auto"/>
                <w:spacing w:val="-4"/>
                <w:kern w:val="0"/>
                <w:szCs w:val="21"/>
              </w:rPr>
            </w:pPr>
          </w:p>
        </w:tc>
      </w:tr>
      <w:tr>
        <w:tblPrEx>
          <w:tblW w:w="8529" w:type="dxa"/>
          <w:tblInd w:w="0" w:type="dxa"/>
          <w:tblLayout w:type="fixed"/>
          <w:tblCellMar>
            <w:top w:w="0" w:type="dxa"/>
            <w:left w:w="108" w:type="dxa"/>
            <w:bottom w:w="0" w:type="dxa"/>
            <w:right w:w="108" w:type="dxa"/>
          </w:tblCellMar>
        </w:tblPrEx>
        <w:tc>
          <w:tcPr>
            <w:tcW w:w="8529" w:type="dxa"/>
            <w:tcBorders>
              <w:top w:val="single" w:sz="8" w:space="0" w:color="000000"/>
              <w:left w:val="nil"/>
              <w:bottom w:val="single" w:sz="8" w:space="0" w:color="auto"/>
              <w:right w:val="nil"/>
            </w:tcBorders>
          </w:tcPr>
          <w:p>
            <w:pPr>
              <w:autoSpaceDE w:val="0"/>
              <w:autoSpaceDN w:val="0"/>
              <w:spacing w:beforeLines="0" w:line="340" w:lineRule="exact"/>
              <w:ind w:firstLine="1866"/>
              <w:rPr>
                <w:rFonts w:ascii="宋体" w:eastAsia="宋体" w:hAnsi="宋体"/>
                <w:color w:val="auto"/>
                <w:spacing w:val="-4"/>
                <w:kern w:val="0"/>
                <w:szCs w:val="21"/>
              </w:rPr>
            </w:pPr>
          </w:p>
        </w:tc>
      </w:tr>
    </w:tbl>
    <w:p>
      <w:pPr>
        <w:spacing w:line="400" w:lineRule="exact"/>
        <w:rPr>
          <w:rFonts w:ascii="仿宋_GB2312" w:eastAsia="仿宋_GB2312" w:hAnsi="仿宋_GB2312" w:cs="仿宋_GB2312"/>
          <w:szCs w:val="21"/>
        </w:rPr>
      </w:pPr>
    </w:p>
    <w:p>
      <w:pPr>
        <w:spacing w:line="400" w:lineRule="exact"/>
        <w:rPr>
          <w:rFonts w:ascii="仿宋_GB2312" w:eastAsia="仿宋_GB2312" w:hAnsi="仿宋_GB2312" w:cs="仿宋_GB2312"/>
          <w:szCs w:val="21"/>
        </w:rPr>
      </w:pPr>
    </w:p>
    <w:p>
      <w:pPr>
        <w:spacing w:line="400" w:lineRule="exact"/>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负责人/投标授权代表</w:t>
      </w:r>
      <w:r>
        <w:rPr>
          <w:rFonts w:ascii="仿宋_GB2312" w:eastAsia="仿宋_GB2312" w:hAnsi="仿宋_GB2312" w:cs="仿宋_GB2312" w:hint="eastAsia"/>
          <w:color w:val="FF0000"/>
          <w:szCs w:val="21"/>
        </w:rPr>
        <w:t>签名</w:t>
      </w:r>
      <w:r>
        <w:rPr>
          <w:rFonts w:ascii="仿宋_GB2312" w:eastAsia="仿宋_GB2312" w:hAnsi="仿宋_GB2312" w:cs="仿宋_GB2312" w:hint="eastAsia"/>
          <w:szCs w:val="21"/>
        </w:rPr>
        <w:t>：</w:t>
      </w:r>
    </w:p>
    <w:p>
      <w:pPr>
        <w:spacing w:line="400" w:lineRule="exact"/>
        <w:jc w:val="center"/>
        <w:rPr>
          <w:rFonts w:ascii="仿宋_GB2312" w:eastAsia="仿宋_GB2312" w:hAnsi="仿宋_GB2312" w:cs="仿宋_GB2312"/>
          <w:szCs w:val="21"/>
        </w:rPr>
      </w:pPr>
      <w:r>
        <w:rPr>
          <w:rFonts w:ascii="仿宋_GB2312" w:eastAsia="仿宋_GB2312" w:hAnsi="仿宋_GB2312" w:cs="仿宋_GB2312" w:hint="eastAsia"/>
          <w:szCs w:val="21"/>
        </w:rPr>
        <w:t xml:space="preserve">                                     知悉人：</w:t>
      </w:r>
    </w:p>
    <w:p>
      <w:pPr>
        <w:spacing w:line="400" w:lineRule="exact"/>
        <w:jc w:val="center"/>
        <w:rPr>
          <w:szCs w:val="21"/>
        </w:rPr>
      </w:pPr>
      <w:r>
        <w:rPr>
          <w:rFonts w:ascii="仿宋_GB2312" w:eastAsia="仿宋_GB2312" w:hAnsi="仿宋_GB2312" w:cs="仿宋_GB2312" w:hint="eastAsia"/>
          <w:szCs w:val="21"/>
        </w:rPr>
        <w:t xml:space="preserve">                          </w:t>
      </w:r>
      <w:r>
        <w:rPr>
          <w:rFonts w:ascii="仿宋_GB2312" w:eastAsia="仿宋_GB2312" w:hAnsi="仿宋_GB2312" w:cs="仿宋_GB2312" w:hint="eastAsia"/>
          <w:szCs w:val="21"/>
          <w:lang w:val="en-US" w:eastAsia="zh-CN"/>
        </w:rPr>
        <w:t xml:space="preserve">           </w:t>
      </w:r>
      <w:r>
        <w:rPr>
          <w:rFonts w:ascii="仿宋_GB2312" w:eastAsia="仿宋_GB2312" w:hAnsi="仿宋_GB2312" w:cs="仿宋_GB2312" w:hint="eastAsia"/>
          <w:szCs w:val="21"/>
        </w:rPr>
        <w:t xml:space="preserve"> 日期：</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sz w:val="21"/>
          <w:szCs w:val="21"/>
        </w:rPr>
      </w:pPr>
    </w:p>
    <w:p>
      <w:pPr>
        <w:spacing w:line="400" w:lineRule="exact"/>
        <w:rPr>
          <w:rFonts w:hint="eastAsia"/>
          <w:b/>
          <w:bCs/>
          <w:color w:val="FF0000"/>
        </w:rPr>
      </w:pPr>
    </w:p>
    <w:p>
      <w:pPr>
        <w:spacing w:line="400" w:lineRule="exact"/>
        <w:rPr>
          <w:rFonts w:hint="eastAsia"/>
          <w:b/>
          <w:bCs/>
          <w:color w:val="FF0000"/>
        </w:rPr>
      </w:pPr>
    </w:p>
    <w:p>
      <w:pPr>
        <w:spacing w:line="400" w:lineRule="exact"/>
        <w:rPr>
          <w:rFonts w:hint="eastAsia"/>
          <w:b/>
          <w:bCs/>
          <w:color w:val="FF0000"/>
        </w:rPr>
      </w:pPr>
      <w:r>
        <w:rPr>
          <w:rFonts w:hint="eastAsia"/>
          <w:b/>
          <w:bCs/>
          <w:color w:val="FF0000"/>
        </w:rPr>
        <w:t xml:space="preserve">注： </w:t>
      </w:r>
    </w:p>
    <w:p>
      <w:pPr>
        <w:spacing w:line="400" w:lineRule="exact"/>
        <w:rPr>
          <w:rFonts w:hint="eastAsia"/>
          <w:b/>
          <w:bCs/>
          <w:color w:val="FF0000"/>
        </w:rPr>
      </w:pPr>
      <w:r>
        <w:rPr>
          <w:rFonts w:hint="eastAsia"/>
          <w:b/>
          <w:bCs/>
          <w:color w:val="FF0000"/>
        </w:rPr>
        <w:t xml:space="preserve">1.政府采购违法行为风险知悉确认书不作为资格性审查及符合性审查条件。 </w:t>
      </w:r>
    </w:p>
    <w:p>
      <w:pPr>
        <w:spacing w:line="400" w:lineRule="exact"/>
        <w:rPr>
          <w:rFonts w:hint="eastAsia"/>
          <w:b/>
          <w:bCs/>
          <w:color w:val="FF0000"/>
        </w:rPr>
      </w:pPr>
      <w:r>
        <w:rPr>
          <w:rFonts w:hint="eastAsia"/>
          <w:b/>
          <w:bCs/>
          <w:color w:val="FF0000"/>
        </w:rPr>
        <w:t>2.投标供应商负责人或投标授权代表签字并加盖单位公章后，扫描上传至投标文件一并提交。</w:t>
      </w:r>
    </w:p>
    <w:p>
      <w:pPr>
        <w:keepNext/>
        <w:keepLines/>
        <w:spacing w:line="400" w:lineRule="exact"/>
        <w:jc w:val="center"/>
        <w:outlineLvl w:val="1"/>
        <w:rPr>
          <w:rFonts w:ascii="Arial" w:eastAsia="黑体" w:hAnsi="Arial"/>
          <w:b/>
          <w:bCs/>
          <w:sz w:val="32"/>
          <w:szCs w:val="32"/>
        </w:rPr>
      </w:pPr>
      <w:r>
        <w:rPr>
          <w:rFonts w:hint="eastAsia"/>
        </w:rPr>
        <w:br w:type="page"/>
      </w:r>
      <w:bookmarkStart w:id="428" w:name="_Toc29761"/>
      <w:bookmarkStart w:id="429" w:name="_Toc5825"/>
      <w:bookmarkStart w:id="430" w:name="_Toc37679657"/>
      <w:bookmarkStart w:id="431" w:name="_Toc19081"/>
      <w:bookmarkStart w:id="432" w:name="_Toc26506"/>
      <w:bookmarkStart w:id="433" w:name="_Toc22613"/>
      <w:bookmarkStart w:id="434" w:name="_Toc256000082"/>
      <w:r>
        <w:rPr>
          <w:rFonts w:ascii="Times New Roman" w:eastAsia="宋体" w:hAnsi="Times New Roman" w:cs="Times New Roman" w:hint="eastAsia"/>
          <w:kern w:val="2"/>
          <w:sz w:val="32"/>
          <w:szCs w:val="32"/>
          <w:lang w:val="en-US" w:eastAsia="zh-CN" w:bidi="ar-SA"/>
        </w:rPr>
        <w:t>格式</w:t>
      </w:r>
      <w:r>
        <w:rPr>
          <w:rFonts w:ascii="Times New Roman" w:hAnsi="Times New Roman" w:cs="Times New Roman" w:hint="eastAsia"/>
          <w:kern w:val="2"/>
          <w:sz w:val="32"/>
          <w:szCs w:val="32"/>
          <w:lang w:val="en-US" w:eastAsia="zh-CN" w:bidi="ar-SA"/>
        </w:rPr>
        <w:t>1</w:t>
      </w:r>
      <w:r>
        <w:rPr>
          <w:rFonts w:cs="Times New Roman" w:hint="eastAsia"/>
          <w:kern w:val="2"/>
          <w:sz w:val="32"/>
          <w:szCs w:val="32"/>
          <w:lang w:val="en-US" w:eastAsia="zh-CN" w:bidi="ar-SA"/>
        </w:rPr>
        <w:t>5</w:t>
      </w:r>
      <w:r>
        <w:rPr>
          <w:rFonts w:ascii="Times New Roman" w:eastAsia="宋体" w:hAnsi="Times New Roman" w:cs="Times New Roman" w:hint="eastAsia"/>
          <w:kern w:val="2"/>
          <w:sz w:val="32"/>
          <w:szCs w:val="32"/>
          <w:lang w:val="en-US" w:eastAsia="zh-CN" w:bidi="ar-SA"/>
        </w:rPr>
        <w:t>：联合体协议书</w:t>
      </w:r>
      <w:bookmarkEnd w:id="428"/>
      <w:bookmarkEnd w:id="429"/>
      <w:bookmarkEnd w:id="430"/>
      <w:bookmarkEnd w:id="431"/>
      <w:r>
        <w:rPr>
          <w:rFonts w:cs="Times New Roman" w:hint="eastAsia"/>
          <w:kern w:val="2"/>
          <w:sz w:val="32"/>
          <w:szCs w:val="32"/>
          <w:lang w:val="en-US" w:eastAsia="zh-CN" w:bidi="ar-SA"/>
        </w:rPr>
        <w:t>（本项目不适用）</w:t>
      </w:r>
      <w:bookmarkEnd w:id="434"/>
      <w:bookmarkEnd w:id="432"/>
      <w:bookmarkEnd w:id="433"/>
    </w:p>
    <w:p>
      <w:pPr>
        <w:spacing w:line="400" w:lineRule="exact"/>
        <w:ind w:firstLine="420" w:firstLineChars="200"/>
      </w:pPr>
    </w:p>
    <w:p>
      <w:pPr>
        <w:spacing w:line="400" w:lineRule="exact"/>
        <w:ind w:firstLine="420" w:firstLineChars="200"/>
      </w:pPr>
      <w:r>
        <w:rPr>
          <w:rFonts w:hint="eastAsia"/>
        </w:rPr>
        <w:t>（所有成员单位名称）自愿组成（联合体名称）联合体，共同参加（项目名称）（招标编号）投标。现就联合体投标事宜订立如下协议。</w:t>
      </w:r>
    </w:p>
    <w:p>
      <w:pPr>
        <w:spacing w:line="400" w:lineRule="exact"/>
        <w:ind w:firstLine="420" w:firstLineChars="200"/>
      </w:pPr>
      <w:r>
        <w:t>1</w:t>
      </w:r>
      <w:r>
        <w:rPr>
          <w:rFonts w:hint="eastAsia"/>
        </w:rPr>
        <w:t>、（某成员单位名称）为（联合体名称）牵头人。</w:t>
      </w:r>
    </w:p>
    <w:p>
      <w:pPr>
        <w:spacing w:line="400" w:lineRule="exact"/>
        <w:ind w:firstLine="420" w:firstLineChars="200"/>
      </w:pPr>
      <w:r>
        <w:t>2</w:t>
      </w:r>
      <w:r>
        <w:rPr>
          <w:rFonts w:hint="eastAsia"/>
        </w:rPr>
        <w:t>、联合体各成员授权牵头人代表联合体参加投标活动，签署文件，提交和接收相</w:t>
      </w:r>
      <w:bookmarkStart w:id="435" w:name="_Toc300835212"/>
      <w:bookmarkStart w:id="436" w:name="_Toc247514249"/>
      <w:bookmarkStart w:id="437" w:name="_Toc384308378"/>
      <w:bookmarkStart w:id="438" w:name="_Toc361508755"/>
      <w:bookmarkStart w:id="439" w:name="_Toc247527830"/>
      <w:r>
        <w:rPr>
          <w:rFonts w:hint="eastAsia"/>
        </w:rPr>
        <w:t>关的</w:t>
      </w:r>
      <w:bookmarkStart w:id="440" w:name="_Toc7749"/>
      <w:bookmarkStart w:id="441" w:name="_Toc352691664"/>
      <w:bookmarkStart w:id="442" w:name="_Toc369531700"/>
      <w:r>
        <w:rPr>
          <w:rFonts w:hint="eastAsia"/>
        </w:rPr>
        <w:t>资料、信息及</w:t>
      </w:r>
      <w:bookmarkEnd w:id="440"/>
      <w:bookmarkEnd w:id="441"/>
      <w:bookmarkEnd w:id="442"/>
      <w:r>
        <w:rPr>
          <w:rFonts w:hint="eastAsia"/>
        </w:rPr>
        <w:t>指</w:t>
      </w:r>
      <w:bookmarkEnd w:id="435"/>
      <w:bookmarkEnd w:id="436"/>
      <w:bookmarkEnd w:id="437"/>
      <w:bookmarkEnd w:id="438"/>
      <w:bookmarkEnd w:id="439"/>
      <w:r>
        <w:rPr>
          <w:rFonts w:hint="eastAsia"/>
        </w:rPr>
        <w:t>示，进行合同谈判活动，负责合同实施阶段的组织和协调工作，以及处理与本招标项目有关的一切事宜。</w:t>
      </w:r>
    </w:p>
    <w:p>
      <w:pPr>
        <w:spacing w:line="400" w:lineRule="exact"/>
        <w:ind w:firstLine="420" w:firstLineChars="200"/>
      </w:pPr>
      <w:r>
        <w:t>3</w:t>
      </w:r>
      <w:r>
        <w:rPr>
          <w:rFonts w:hint="eastAsia"/>
        </w:rPr>
        <w:t>、</w:t>
      </w:r>
      <w:bookmarkStart w:id="443" w:name="_Toc300835213"/>
      <w:bookmarkStart w:id="444" w:name="_Toc352691665"/>
      <w:bookmarkStart w:id="445" w:name="_Toc369531701"/>
      <w:bookmarkStart w:id="446" w:name="_Toc247514283"/>
      <w:bookmarkStart w:id="447" w:name="_Toc247527831"/>
      <w:bookmarkStart w:id="448" w:name="_Toc361508756"/>
      <w:bookmarkStart w:id="449" w:name="_Toc27930"/>
      <w:bookmarkStart w:id="450" w:name="_Toc384308380"/>
      <w:r>
        <w:rPr>
          <w:rFonts w:hint="eastAsia"/>
        </w:rPr>
        <w:t>联合体牵头人在本项目中签署的一切文件和处理</w:t>
      </w:r>
      <w:bookmarkEnd w:id="443"/>
      <w:bookmarkEnd w:id="444"/>
      <w:bookmarkEnd w:id="445"/>
      <w:bookmarkEnd w:id="446"/>
      <w:bookmarkEnd w:id="447"/>
      <w:bookmarkEnd w:id="448"/>
      <w:bookmarkEnd w:id="449"/>
      <w:bookmarkEnd w:id="450"/>
      <w:r>
        <w:rPr>
          <w:rFonts w:hint="eastAsia"/>
        </w:rPr>
        <w:t>的一切事宜，联合体各成员均予以承认。联合体各成员将严格按照招标文件、投标文件和合同的要求全面履行义务，并向招标人承担连带责任。</w:t>
      </w:r>
    </w:p>
    <w:p>
      <w:pPr>
        <w:spacing w:line="400" w:lineRule="exact"/>
        <w:ind w:firstLine="420" w:firstLineChars="200"/>
      </w:pPr>
      <w:r>
        <w:t>4</w:t>
      </w:r>
      <w:r>
        <w:rPr>
          <w:rFonts w:hint="eastAsia"/>
        </w:rPr>
        <w:t>、联合体各成员单位内部的职责分工如下：。</w:t>
      </w:r>
    </w:p>
    <w:p>
      <w:pPr>
        <w:spacing w:line="400" w:lineRule="exact"/>
        <w:ind w:firstLine="420" w:firstLineChars="200"/>
      </w:pPr>
      <w:r>
        <w:t>5</w:t>
      </w:r>
      <w:r>
        <w:rPr>
          <w:rFonts w:hint="eastAsia"/>
        </w:rPr>
        <w:t>、本协议书自所有成员单位法定代表人（单位负责人）或其委托代理人签字或盖单位章之日起生效，合同履行完毕后自动失效。</w:t>
      </w:r>
    </w:p>
    <w:p>
      <w:pPr>
        <w:spacing w:line="400" w:lineRule="exact"/>
        <w:ind w:firstLine="420" w:firstLineChars="200"/>
      </w:pPr>
      <w:r>
        <w:t>6</w:t>
      </w:r>
      <w:r>
        <w:rPr>
          <w:rFonts w:hint="eastAsia"/>
        </w:rPr>
        <w:t>、本协议书一式份，联合体成员和招标人各执份。</w:t>
      </w:r>
    </w:p>
    <w:p>
      <w:pPr>
        <w:spacing w:line="400" w:lineRule="exact"/>
        <w:ind w:firstLine="420" w:firstLineChars="200"/>
      </w:pPr>
    </w:p>
    <w:p>
      <w:pPr>
        <w:spacing w:line="400" w:lineRule="exact"/>
        <w:ind w:firstLine="420" w:firstLineChars="200"/>
      </w:pPr>
      <w:r>
        <w:rPr>
          <w:rFonts w:hint="eastAsia"/>
        </w:rPr>
        <w:t>注：本协议书由法定代表人（单位负责人）签字的，应附法定代表人（单位负责人）身份证明；由委托代理人签字的，应附授权委托书。</w:t>
      </w:r>
    </w:p>
    <w:p>
      <w:pPr>
        <w:spacing w:line="400" w:lineRule="exact"/>
      </w:pPr>
    </w:p>
    <w:p>
      <w:pPr>
        <w:spacing w:line="400" w:lineRule="exact"/>
      </w:pPr>
      <w:r>
        <w:rPr>
          <w:rFonts w:hint="eastAsia"/>
        </w:rPr>
        <w:t>联合体牵头人名称：（盖公章）</w:t>
      </w:r>
    </w:p>
    <w:p>
      <w:pPr>
        <w:spacing w:line="400" w:lineRule="exact"/>
      </w:pPr>
      <w:r>
        <w:rPr>
          <w:rFonts w:hint="eastAsia"/>
        </w:rPr>
        <w:t>法定代表人（单位负责人）或其委托代理人：（签字）</w:t>
      </w:r>
    </w:p>
    <w:p>
      <w:pPr>
        <w:spacing w:line="400" w:lineRule="exact"/>
      </w:pPr>
      <w:r>
        <w:rPr>
          <w:rFonts w:hint="eastAsia"/>
        </w:rPr>
        <w:t>联合体成员名称：（盖公章）</w:t>
      </w:r>
    </w:p>
    <w:p>
      <w:pPr>
        <w:spacing w:line="400" w:lineRule="exact"/>
      </w:pPr>
      <w:r>
        <w:rPr>
          <w:rFonts w:hint="eastAsia"/>
        </w:rPr>
        <w:t>法定代表人（单位负责人）或其委托代理人：（签字）</w:t>
      </w:r>
    </w:p>
    <w:p>
      <w:pPr>
        <w:spacing w:line="400" w:lineRule="exact"/>
      </w:pPr>
      <w:r>
        <w:rPr>
          <w:rFonts w:hint="eastAsia"/>
        </w:rPr>
        <w:t>联合体成员名称：（盖公章）</w:t>
      </w:r>
    </w:p>
    <w:p>
      <w:pPr>
        <w:spacing w:line="400" w:lineRule="exact"/>
      </w:pPr>
      <w:r>
        <w:rPr>
          <w:rFonts w:hint="eastAsia"/>
        </w:rPr>
        <w:t>法定代表人（单位负责人）或其委托代理人：（签字）</w:t>
      </w:r>
    </w:p>
    <w:p>
      <w:pPr>
        <w:spacing w:line="400" w:lineRule="exact"/>
      </w:pPr>
      <w:r>
        <w:t xml:space="preserve">…… </w:t>
      </w:r>
    </w:p>
    <w:p>
      <w:pPr>
        <w:spacing w:line="400" w:lineRule="exact"/>
      </w:pPr>
      <w:r>
        <w:rPr>
          <w:rFonts w:hint="eastAsia"/>
        </w:rPr>
        <w:t>日期：</w:t>
      </w:r>
      <w:r>
        <w:t xml:space="preserve">   </w:t>
      </w:r>
      <w:r>
        <w:rPr>
          <w:rFonts w:hint="eastAsia"/>
        </w:rPr>
        <w:t>年</w:t>
      </w:r>
      <w:r>
        <w:t xml:space="preserve">   </w:t>
      </w:r>
      <w:r>
        <w:rPr>
          <w:rFonts w:hint="eastAsia"/>
        </w:rPr>
        <w:t>月</w:t>
      </w:r>
      <w:r>
        <w:t xml:space="preserve">   </w:t>
      </w:r>
      <w:r>
        <w:rPr>
          <w:rFonts w:hint="eastAsia"/>
        </w:rPr>
        <w:t>日</w:t>
      </w:r>
      <w:r>
        <w:rPr>
          <w:rFonts w:hint="eastAsia"/>
        </w:rPr>
        <w:br w:type="page"/>
      </w:r>
    </w:p>
    <w:p>
      <w:pPr>
        <w:spacing w:line="400" w:lineRule="exact"/>
      </w:pPr>
    </w:p>
    <w:p>
      <w:pPr>
        <w:spacing w:line="400" w:lineRule="exact"/>
      </w:pPr>
    </w:p>
    <w:p>
      <w:pPr>
        <w:pStyle w:val="Heading1"/>
        <w:spacing w:line="240" w:lineRule="auto"/>
        <w:jc w:val="center"/>
      </w:pPr>
      <w:bookmarkStart w:id="451" w:name="_Toc29781"/>
      <w:bookmarkStart w:id="452" w:name="_Toc7733"/>
      <w:bookmarkStart w:id="453" w:name="_Toc29095"/>
      <w:bookmarkStart w:id="454" w:name="_Toc21216"/>
      <w:bookmarkStart w:id="455" w:name="_Toc29204"/>
      <w:bookmarkStart w:id="456" w:name="_Toc256000083"/>
      <w:r>
        <w:rPr>
          <w:rFonts w:hint="eastAsia"/>
        </w:rPr>
        <w:t>第六章 合同文本</w:t>
      </w:r>
      <w:bookmarkEnd w:id="456"/>
      <w:bookmarkEnd w:id="451"/>
      <w:bookmarkEnd w:id="452"/>
      <w:bookmarkEnd w:id="453"/>
      <w:bookmarkEnd w:id="454"/>
      <w:bookmarkEnd w:id="455"/>
    </w:p>
    <w:p>
      <w:pPr>
        <w:spacing w:line="400" w:lineRule="exact"/>
      </w:pPr>
    </w:p>
    <w:p>
      <w:pPr>
        <w:pStyle w:val="Heading2"/>
        <w:spacing w:line="400" w:lineRule="exact"/>
        <w:jc w:val="center"/>
      </w:pPr>
      <w:bookmarkStart w:id="457" w:name="_Toc26738"/>
      <w:bookmarkStart w:id="458" w:name="_Toc21341"/>
      <w:bookmarkStart w:id="459" w:name="_Toc23778"/>
      <w:bookmarkStart w:id="460" w:name="_Toc39"/>
      <w:bookmarkStart w:id="461" w:name="_Toc19017"/>
      <w:bookmarkStart w:id="462" w:name="_Toc256000084"/>
      <w:r>
        <w:rPr>
          <w:rFonts w:hint="eastAsia"/>
        </w:rPr>
        <w:t>合同文本编制说明</w:t>
      </w:r>
      <w:bookmarkEnd w:id="462"/>
      <w:bookmarkEnd w:id="457"/>
      <w:bookmarkEnd w:id="458"/>
      <w:bookmarkEnd w:id="459"/>
      <w:bookmarkEnd w:id="460"/>
      <w:bookmarkEnd w:id="461"/>
    </w:p>
    <w:p>
      <w:pPr>
        <w:spacing w:line="400" w:lineRule="exact"/>
        <w:ind w:firstLine="420" w:firstLineChars="200"/>
      </w:pPr>
      <w:r>
        <w:rPr>
          <w:rFonts w:hint="eastAsia"/>
        </w:rPr>
        <w:t>《政府采购货物和服务招标投标管理办法》（财政部令第87号）规定：招标文件应当包括拟签订的合同文本。</w:t>
      </w:r>
    </w:p>
    <w:p>
      <w:pPr>
        <w:spacing w:line="400" w:lineRule="exact"/>
        <w:ind w:firstLine="420" w:firstLineChars="200"/>
      </w:pPr>
      <w:r>
        <w:rPr>
          <w:rFonts w:hint="eastAsia"/>
        </w:rPr>
        <w:t>合同文本可由采购人编写，采购人没有编写的，可以选用国家或地方的标准合同文本或示范合同文本。</w:t>
      </w:r>
    </w:p>
    <w:p>
      <w:pPr>
        <w:spacing w:line="400" w:lineRule="exact"/>
      </w:pPr>
      <w:r>
        <w:rPr>
          <w:rFonts w:hint="eastAsia"/>
        </w:rPr>
        <w:br w:type="page"/>
      </w:r>
    </w:p>
    <w:p>
      <w:pPr>
        <w:jc w:val="center"/>
        <w:rPr>
          <w:rFonts w:ascii="宋体" w:hAnsi="宋体"/>
          <w:sz w:val="36"/>
          <w:szCs w:val="36"/>
        </w:rPr>
      </w:pPr>
      <w:bookmarkStart w:id="463" w:name="_Toc296602418"/>
      <w:bookmarkStart w:id="464" w:name="_Toc246996916"/>
      <w:bookmarkStart w:id="465" w:name="_Toc179632544"/>
      <w:bookmarkStart w:id="466" w:name="_Toc152042303"/>
      <w:bookmarkStart w:id="467" w:name="_Toc247085687"/>
      <w:bookmarkStart w:id="468" w:name="_Toc246996173"/>
      <w:bookmarkStart w:id="469" w:name="_Toc152045527"/>
      <w:bookmarkStart w:id="470" w:name="_Toc144974495"/>
      <w:bookmarkStart w:id="471" w:name="_Toc247085689"/>
      <w:bookmarkStart w:id="472" w:name="_Toc246996918"/>
      <w:bookmarkStart w:id="473" w:name="_Toc144974497"/>
      <w:bookmarkStart w:id="474" w:name="_Toc246996175"/>
      <w:bookmarkStart w:id="475" w:name="_Toc296602420"/>
      <w:bookmarkStart w:id="476" w:name="_Toc152042305"/>
      <w:bookmarkStart w:id="477" w:name="_Toc179632546"/>
      <w:bookmarkStart w:id="478" w:name="_Toc152045529"/>
      <w:r>
        <w:rPr>
          <w:rFonts w:ascii="宋体" w:hAnsi="宋体" w:hint="eastAsia"/>
          <w:sz w:val="36"/>
          <w:szCs w:val="36"/>
        </w:rPr>
        <w:t>合同格式（仅供参考）</w:t>
      </w:r>
    </w:p>
    <w:p>
      <w:r>
        <w:rPr>
          <w:rFonts w:hint="eastAsia"/>
        </w:rPr>
        <w:t>签约日期：</w:t>
      </w:r>
    </w:p>
    <w:p>
      <w:r>
        <w:rPr>
          <w:rFonts w:hint="eastAsia"/>
        </w:rPr>
        <w:t>签约地点：</w:t>
      </w:r>
    </w:p>
    <w:p/>
    <w:p>
      <w:r>
        <w:rPr>
          <w:rFonts w:hint="eastAsia"/>
        </w:rPr>
        <w:t>本合同由下述双方签订：</w:t>
      </w:r>
    </w:p>
    <w:p>
      <w:r>
        <w:rPr>
          <w:rFonts w:hint="eastAsia"/>
        </w:rPr>
        <w:t>甲方（需方）：</w:t>
      </w:r>
    </w:p>
    <w:p>
      <w:r>
        <w:rPr>
          <w:rFonts w:hint="eastAsia"/>
        </w:rPr>
        <w:t>地址：</w:t>
      </w:r>
    </w:p>
    <w:p>
      <w:r>
        <w:rPr>
          <w:rFonts w:hint="eastAsia"/>
        </w:rPr>
        <w:t>法定代表人：</w:t>
      </w:r>
    </w:p>
    <w:p>
      <w:r>
        <w:rPr>
          <w:rFonts w:hint="eastAsia"/>
        </w:rPr>
        <w:t>联系电话：</w:t>
      </w:r>
      <w:r>
        <w:tab/>
      </w:r>
      <w:r>
        <w:tab/>
      </w:r>
      <w:r>
        <w:tab/>
      </w:r>
      <w:r>
        <w:tab/>
      </w:r>
      <w:r>
        <w:t>邮编：</w:t>
      </w:r>
    </w:p>
    <w:p/>
    <w:p>
      <w:r>
        <w:rPr>
          <w:rFonts w:hint="eastAsia"/>
        </w:rPr>
        <w:t>乙方（服务提供方）：</w:t>
      </w:r>
    </w:p>
    <w:p>
      <w:r>
        <w:rPr>
          <w:rFonts w:hint="eastAsia"/>
        </w:rPr>
        <w:t>地址：</w:t>
      </w:r>
    </w:p>
    <w:p>
      <w:r>
        <w:rPr>
          <w:rFonts w:hint="eastAsia"/>
        </w:rPr>
        <w:t>法定代表人：</w:t>
      </w:r>
    </w:p>
    <w:p>
      <w:r>
        <w:rPr>
          <w:rFonts w:hint="eastAsia"/>
        </w:rPr>
        <w:t>联系电话：</w:t>
      </w:r>
      <w:r>
        <w:tab/>
      </w:r>
      <w:r>
        <w:tab/>
      </w:r>
      <w:r>
        <w:tab/>
      </w:r>
      <w:r>
        <w:tab/>
      </w:r>
      <w:r>
        <w:t>邮编：</w:t>
      </w:r>
    </w:p>
    <w:p/>
    <w:p>
      <w:r>
        <w:rPr>
          <w:rFonts w:hint="eastAsia"/>
        </w:rPr>
        <w:t>根据深圳龙达招标有限公司组织的　　　　　（项目名称、招标编号）的招标结果，甲乙双方依据《中华人民共和国政府采购法》、《深圳经济特区政府采购条例》、《中华人民共和国民法典》和相关的法律法规，按照平等互利的原则达成如下协议：</w:t>
      </w:r>
    </w:p>
    <w:p/>
    <w:p>
      <w:r>
        <w:t>1.</w:t>
      </w:r>
      <w:r>
        <w:tab/>
      </w:r>
      <w:r>
        <w:t>定义</w:t>
      </w:r>
    </w:p>
    <w:p>
      <w:r>
        <w:t>1.1.</w:t>
      </w:r>
      <w:r>
        <w:tab/>
      </w:r>
      <w:r>
        <w:t xml:space="preserve">本合同下列术语应解释为： </w:t>
      </w:r>
    </w:p>
    <w:p>
      <w:r>
        <w:t>1.1.1. “合同”系指供需双方签署的、合同格式中载明的双方所达成的协议，包括所有的附件、附录和上述文件所提到的构成合同的所有文件。</w:t>
      </w:r>
    </w:p>
    <w:p>
      <w:r>
        <w:t>1.1.2. “合同价”系指根据本合同规定服务提供方在正确地完全履行合同义务后需方应支付给服务提供方的价款。</w:t>
      </w:r>
    </w:p>
    <w:p>
      <w:r>
        <w:t>1.1.3. “服务”系指根据本合同规定服务提供方承担例如安装、调试、提供技术援助、培训和合同中规定服务提供方应承担的其它义务。</w:t>
      </w:r>
    </w:p>
    <w:p>
      <w:r>
        <w:t>1.1.4. “货物”系指服务提供方根据本合同规定须向需方提供的一切设备、机械、仪表备件，包括工具、手册等其它材料。</w:t>
      </w:r>
    </w:p>
    <w:p>
      <w:r>
        <w:t>1.1.5. “需方”系指在合同资料表中指明的通过招标采购，接受合同货物及服务的采购单位。</w:t>
      </w:r>
    </w:p>
    <w:p>
      <w:r>
        <w:t>1.1.6. “服务提供方”系指在合同资料表中指明的提供本合同项下服务和货物的中标人。</w:t>
      </w:r>
    </w:p>
    <w:p>
      <w:r>
        <w:t>1.1.7. “项目现场”系指本合同项下货物安装、运行的现场，其名称在合同资料表中指明。</w:t>
      </w:r>
    </w:p>
    <w:p>
      <w:r>
        <w:t>1.1.8. “日”指日历日。</w:t>
      </w:r>
    </w:p>
    <w:p>
      <w:r>
        <w:t>1.1.9. “验收”系指合同双方依据强制性的国家技术质量规范和合同约定，确定合同项下的货物符合合同规定的活动。</w:t>
      </w:r>
    </w:p>
    <w:p/>
    <w:p>
      <w:r>
        <w:t>2.</w:t>
      </w:r>
      <w:r>
        <w:tab/>
      </w:r>
      <w:r>
        <w:t>服务内容</w:t>
      </w:r>
    </w:p>
    <w:p>
      <w:r>
        <w:t>2.1.</w:t>
      </w:r>
      <w:r>
        <w:tab/>
      </w:r>
      <w:r>
        <w:t>提交货物、工程和服务的技术规范应与招标文件规定的技术规范和技术规范附件（如果有的话）及其投标文件的技术规范偏差表（如果被需方接受的话）相一致。若技术规范中无相应说明，则以国家有关部门最新颁布的相应标准及规范为准。</w:t>
      </w:r>
    </w:p>
    <w:p>
      <w:r>
        <w:t>2.2.</w:t>
      </w:r>
      <w:r>
        <w:tab/>
      </w:r>
      <w:r>
        <w:t>服务提供方提供以下服务内容：                              。</w:t>
      </w:r>
    </w:p>
    <w:p/>
    <w:p>
      <w:r>
        <w:t>3.</w:t>
      </w:r>
      <w:r>
        <w:tab/>
      </w:r>
      <w:r>
        <w:t>知识产权</w:t>
      </w:r>
    </w:p>
    <w:p>
      <w:r>
        <w:t>3.1.</w:t>
      </w:r>
      <w:r>
        <w:tab/>
      </w:r>
      <w:r>
        <w:t>服务提供方应保证，需方在中华人民共和国使用该货物、工程和服务时，免受第三方提出的侵犯其专利权、商标权、著作权和工业设计权等的起诉。如果任何第三方提出侵权指控，服务提供方须与第三方交涉并承担由此发生的一切责任、费用和经济赔偿。</w:t>
      </w:r>
    </w:p>
    <w:p/>
    <w:p>
      <w:r>
        <w:t>4.</w:t>
      </w:r>
      <w:r>
        <w:tab/>
      </w:r>
      <w:r>
        <w:t>服务时间</w:t>
      </w:r>
    </w:p>
    <w:p>
      <w:r>
        <w:t>4.1.</w:t>
      </w:r>
      <w:r>
        <w:tab/>
      </w:r>
      <w:r>
        <w:t>服务时间见第二册第八章“合同资料表”。</w:t>
      </w:r>
    </w:p>
    <w:p/>
    <w:p>
      <w:r>
        <w:t>5.</w:t>
      </w:r>
      <w:r>
        <w:tab/>
      </w:r>
      <w:r>
        <w:t>人员配备</w:t>
      </w:r>
    </w:p>
    <w:p>
      <w:r>
        <w:t>5.1.</w:t>
      </w:r>
      <w:r>
        <w:tab/>
      </w:r>
      <w:r>
        <w:t>除非需方书面同意，服务提供方不得单方变更投标文件中所列人员。</w:t>
      </w:r>
    </w:p>
    <w:p>
      <w:r>
        <w:t>5.2.</w:t>
      </w:r>
      <w:r>
        <w:tab/>
      </w:r>
      <w:r>
        <w:t>服务提供方所配备项目人员经两次及以上有效投诉，需方可要求服务提供方更换该服务人员。</w:t>
      </w:r>
    </w:p>
    <w:p/>
    <w:p>
      <w:r>
        <w:t>6.</w:t>
      </w:r>
      <w:r>
        <w:tab/>
      </w:r>
      <w:r>
        <w:t>付款方式</w:t>
      </w:r>
    </w:p>
    <w:p>
      <w:r>
        <w:t>6.1.</w:t>
      </w:r>
      <w:r>
        <w:tab/>
      </w:r>
      <w:r>
        <w:t>付款方式见第二册第八章“合同资料表”。</w:t>
      </w:r>
    </w:p>
    <w:p/>
    <w:p>
      <w:r>
        <w:t>7.</w:t>
      </w:r>
      <w:r>
        <w:tab/>
      </w:r>
      <w:r>
        <w:t>违约赔偿</w:t>
      </w:r>
    </w:p>
    <w:p>
      <w:r>
        <w:t>7.1.</w:t>
      </w:r>
      <w:r>
        <w:tab/>
      </w:r>
      <w:r>
        <w:t>除合同第14条规定外，如果服务提供方没有按照合同规定的时间交货和提供服务，需方可要求服务提供方支付违约金。违约金按每周迟交货物或未提供服务交货价的0.5%计收。但违约金的最高限额为迟交货物或未提供服务合同价的5%。一周按7天计算，不足7天按一周计算。如果达到最高限额，需方有权解除合同。</w:t>
      </w:r>
    </w:p>
    <w:p/>
    <w:p>
      <w:r>
        <w:t>8.</w:t>
      </w:r>
      <w:r>
        <w:tab/>
      </w:r>
      <w:r>
        <w:t>不可抗力</w:t>
      </w:r>
    </w:p>
    <w:p>
      <w:r>
        <w:t>8.1.</w:t>
      </w:r>
      <w:r>
        <w:tab/>
      </w:r>
      <w:r>
        <w:t>如果双方中任何一方遭遇法律规定的不可抗力，致使合同履行受阻时，履行合同的期限应予延长，延长的期限应相当于不可抗力所影响的时间。</w:t>
      </w:r>
    </w:p>
    <w:p>
      <w:r>
        <w:t>8.2.</w:t>
      </w:r>
      <w:r>
        <w:tab/>
      </w:r>
      <w:r>
        <w:t>受事故影响的一方应在不可抗力的事故发生后尽快书面通知另一方，并在事故发生后7天内，将有关部门出具的证明文件送达另一方。</w:t>
      </w:r>
    </w:p>
    <w:p>
      <w:r>
        <w:t>8.3.</w:t>
      </w:r>
      <w:r>
        <w:tab/>
      </w:r>
      <w:r>
        <w:t>不可抗力使合同的某些内容有变更必要的，双方应通过协商在10日内达成进一步履行合同的协议，因不可抗力致使合同不能履行的，合同终止。</w:t>
      </w:r>
    </w:p>
    <w:p/>
    <w:p>
      <w:r>
        <w:t>9.</w:t>
      </w:r>
      <w:r>
        <w:tab/>
      </w:r>
      <w:r>
        <w:t>税费</w:t>
      </w:r>
    </w:p>
    <w:p>
      <w:r>
        <w:t>9.1.</w:t>
      </w:r>
      <w:r>
        <w:tab/>
      </w:r>
      <w:r>
        <w:t>与本合同有关的一切税费均适用中华人民共和国法律的相关规定。</w:t>
      </w:r>
    </w:p>
    <w:p/>
    <w:p>
      <w:r>
        <w:t>10.</w:t>
      </w:r>
      <w:r>
        <w:tab/>
      </w:r>
      <w:r>
        <w:t>合同争议的解决</w:t>
      </w:r>
    </w:p>
    <w:p>
      <w:r>
        <w:t>10.1.因合同履行中发生的争议，可通过合同当事人双方友好协商解决。如自协商开始之日起15日内得不以解决，采用合同资料表规定的方式解决。</w:t>
      </w:r>
    </w:p>
    <w:p>
      <w:r>
        <w:rPr>
          <w:rFonts w:hint="eastAsia"/>
        </w:rPr>
        <w:t>（一）仲裁：因本合同引起的或与本合同有关的任何争议，均提请深圳仲裁委员会按照该会仲裁规则进行仲裁。仲裁裁决是终局的，对双方均有约束力。</w:t>
      </w:r>
    </w:p>
    <w:p>
      <w:r>
        <w:rPr>
          <w:rFonts w:hint="eastAsia"/>
        </w:rPr>
        <w:t>（二）诉讼：向有管辖权的人民法院提起诉讼。</w:t>
      </w:r>
    </w:p>
    <w:p>
      <w:r>
        <w:t>10.2.仲裁费用和诉讼费用除仲裁机构或法院另有裁决外，应由败诉方负担。</w:t>
      </w:r>
    </w:p>
    <w:p/>
    <w:p>
      <w:r>
        <w:t>11.</w:t>
      </w:r>
      <w:r>
        <w:tab/>
      </w:r>
      <w:r>
        <w:t>违约解除合同</w:t>
      </w:r>
    </w:p>
    <w:p>
      <w:r>
        <w:t>11.1.在服务提供方违约的情况下，需方经同级政府采购主管部门审批后，可向服务提供方发出书面通知，部分或全部终止合同。同时保留向服务提供方追诉的权利。</w:t>
      </w:r>
    </w:p>
    <w:p>
      <w:r>
        <w:t>11.1.1.服务提供方未能在合同的限期或需方同意延长的限期内，提供全部或部分货物的；</w:t>
      </w:r>
    </w:p>
    <w:p>
      <w:r>
        <w:t>11.1.2.服务提供方未能履行合同规定的其它主要义务的；</w:t>
      </w:r>
    </w:p>
    <w:p>
      <w:r>
        <w:t>11.1.3.需方认为服务提供方在本合同履行过程中有腐败和欺诈行为的。</w:t>
      </w:r>
    </w:p>
    <w:p>
      <w:r>
        <w:t>11.1.3.1.</w:t>
      </w:r>
      <w:r>
        <w:tab/>
      </w:r>
      <w:r>
        <w:t>腐败行为和欺诈行为定义如下：</w:t>
      </w:r>
    </w:p>
    <w:p>
      <w:r>
        <w:t>11.1.3.1.1. “腐败行为”是指提供、给予、接受或索取任何有价值的物品来影响需方在合同签定、履行过程中的行为。</w:t>
      </w:r>
    </w:p>
    <w:p>
      <w:r>
        <w:t>11.1.3.1.2. “欺诈行为”是指为了影响合同签定、履行过程以谎报事实的方法，损害需方利益的行为。</w:t>
      </w:r>
    </w:p>
    <w:p>
      <w:r>
        <w:t>11.2.在需方根据上述规定，全部或部分解除合同之后，应当遵循诚实信用原则，以政府采购主管部门同意的方式，购买与未交付的货物类似的货物或服务，服务提供方应承担需方购买类似的货物或服务而产生的额外支出。部分解除合同的，服务提供方应继续履行合同中未解除的部门。</w:t>
      </w:r>
    </w:p>
    <w:p/>
    <w:p>
      <w:r>
        <w:t>12.</w:t>
      </w:r>
      <w:r>
        <w:tab/>
      </w:r>
      <w:r>
        <w:t>破产终止合同</w:t>
      </w:r>
    </w:p>
    <w:p>
      <w:r>
        <w:t>12.1.如果服务提供方破产或无清偿能力时，需方报同级政府采购主管部门审批后，可以任何时候以书面通知服务提供方，提出终止合同而不给服务提供方补偿。该合同的终止将不损害或不影响需方已经采取或将要采取的任何行动或补救措施的权利。</w:t>
      </w:r>
    </w:p>
    <w:p/>
    <w:p>
      <w:r>
        <w:t>13.</w:t>
      </w:r>
      <w:r>
        <w:tab/>
      </w:r>
      <w:r>
        <w:t>转让和分包</w:t>
      </w:r>
    </w:p>
    <w:p>
      <w:r>
        <w:t>13.1.本招标项目下采购合同不能转让。</w:t>
      </w:r>
    </w:p>
    <w:p>
      <w:r>
        <w:t>13.2.经需方和同级政府采购主管部门事先书面同意，服务提供方可以将合同项下非主体，非关键性工作分包给他人完成。接受分包的人应当具备相应的资格条件，并不得再次分包。分包后不以解除服务提供方履行本合同的责任和义务，接受分包的人与服务提供方共同对需方连带承担合同的责任和义务。</w:t>
      </w:r>
    </w:p>
    <w:p/>
    <w:p>
      <w:r>
        <w:t>14.</w:t>
      </w:r>
      <w:r>
        <w:tab/>
      </w:r>
      <w:r>
        <w:t>合同修改</w:t>
      </w:r>
    </w:p>
    <w:p>
      <w:r>
        <w:t>14.1.需方和服务提供方都不得擅自变更本合同，但合同继续履行将损害国家和社会公共利益的除外。如必须对合同条款进行变更时，当事人双方须共同签署书面文件，做为合同的补充，并报同级政府采购主管部门备案。</w:t>
      </w:r>
    </w:p>
    <w:p/>
    <w:p>
      <w:r>
        <w:t>15.</w:t>
      </w:r>
      <w:r>
        <w:tab/>
      </w:r>
      <w:r>
        <w:t>通知</w:t>
      </w:r>
    </w:p>
    <w:p>
      <w:r>
        <w:t>15.1.本合同任何一方给另一方的通知，都应以书面形式发送，而另一方也应以书面形式确认并发送到对方明确的地址。</w:t>
      </w:r>
    </w:p>
    <w:p/>
    <w:p>
      <w:r>
        <w:t>16.</w:t>
      </w:r>
      <w:r>
        <w:tab/>
      </w:r>
      <w:r>
        <w:t>计量单位</w:t>
      </w:r>
    </w:p>
    <w:p>
      <w:r>
        <w:t>16.1.附技术规范中另有规定外，计量单位均使用国家法定计量单位。</w:t>
      </w:r>
    </w:p>
    <w:p/>
    <w:p>
      <w:r>
        <w:t>17.</w:t>
      </w:r>
      <w:r>
        <w:tab/>
      </w:r>
      <w:r>
        <w:t>适用法律</w:t>
      </w:r>
    </w:p>
    <w:p>
      <w:r>
        <w:t>17.1.本合同应按照中华人民共和国的法律进行解释。</w:t>
      </w:r>
    </w:p>
    <w:p/>
    <w:p>
      <w:r>
        <w:t>18.</w:t>
      </w:r>
      <w:r>
        <w:tab/>
      </w:r>
      <w:r>
        <w:t>履约保证金</w:t>
      </w:r>
    </w:p>
    <w:p>
      <w:r>
        <w:t>18.1.服务提供方应在合同签定后30天内，按约定的方式向需方提交合同资料表规定数额的履约保证金。</w:t>
      </w:r>
    </w:p>
    <w:p>
      <w:r>
        <w:t>18.2.履约保证金用于补偿因服务提供方不能履行合同义务而蒙受的损失。</w:t>
      </w:r>
    </w:p>
    <w:p>
      <w:r>
        <w:t>18.3.履约保证金应使用本合同货币，按下述方式之一提交：</w:t>
      </w:r>
    </w:p>
    <w:p>
      <w:r>
        <w:t>A. 需方可接受的在中华人民共和国注册和营业的银行，按招标文件提供的格式，或其他需方可接受的格式。</w:t>
      </w:r>
    </w:p>
    <w:p>
      <w:r>
        <w:t>B. 支票、汇票或现金。</w:t>
      </w:r>
    </w:p>
    <w:p>
      <w:r>
        <w:t>18.4.如果服务提供方未能按合同规定履行义务，需方有权从履约保证金中取得补偿。质量保证期结束后三十天内，需方将把履约保证金退还服务提供方。</w:t>
      </w:r>
    </w:p>
    <w:p/>
    <w:p>
      <w:r>
        <w:t>19.</w:t>
      </w:r>
      <w:r>
        <w:tab/>
      </w:r>
      <w:r>
        <w:t>合同生效及其他</w:t>
      </w:r>
    </w:p>
    <w:p>
      <w:r>
        <w:t>19.1.采购合同的内容确定应以招标文件和投标文件为基础，不得违背其实质性内容。自合同签订之日起五个工作日内，服务提供方应当将合同副本送招标机构存档备案。合同将在双方签字盖章并由服务提供方递交履约保证金后开始生效。</w:t>
      </w:r>
    </w:p>
    <w:p>
      <w:r>
        <w:t>19.2.本合同一式　　份，具同等法律效力，　　和　　各执　　份。</w:t>
      </w:r>
    </w:p>
    <w:p/>
    <w:p/>
    <w:p/>
    <w:p/>
    <w:p>
      <w:r>
        <w:rPr>
          <w:rFonts w:hint="eastAsia"/>
        </w:rPr>
        <w:t>甲方（需方）：</w:t>
      </w:r>
      <w:r>
        <w:tab/>
      </w:r>
      <w:r>
        <w:tab/>
      </w:r>
      <w:r>
        <w:tab/>
      </w:r>
      <w:r>
        <w:tab/>
      </w:r>
      <w:r>
        <w:tab/>
      </w:r>
      <w:r>
        <w:t>　　　</w:t>
      </w:r>
      <w:r>
        <w:tab/>
      </w:r>
      <w:r>
        <w:t>乙方（服务提供方）：</w:t>
      </w:r>
    </w:p>
    <w:p>
      <w:pPr>
        <w:pStyle w:val="TOC1"/>
      </w:pPr>
      <w:r>
        <w:rPr>
          <w:rFonts w:hint="eastAsia"/>
        </w:rPr>
        <w:t>签署日期：</w:t>
      </w:r>
      <w:r>
        <w:tab/>
      </w:r>
      <w:r>
        <w:tab/>
      </w:r>
      <w:r>
        <w:tab/>
      </w:r>
      <w:r>
        <w:tab/>
      </w:r>
      <w:r>
        <w:tab/>
      </w:r>
      <w:r>
        <w:tab/>
      </w:r>
      <w:r>
        <w:tab/>
      </w:r>
      <w:r>
        <w:t>　　签署日期：</w:t>
      </w:r>
    </w:p>
    <w:p>
      <w:pPr>
        <w:spacing w:line="360" w:lineRule="auto"/>
        <w:ind w:firstLine="420" w:firstLineChars="200"/>
        <w:rPr>
          <w:rFonts w:ascii="宋体" w:hAnsi="宋体"/>
          <w:szCs w:val="21"/>
        </w:rPr>
      </w:pPr>
    </w:p>
    <w:p>
      <w:pPr>
        <w:adjustRightInd w:val="0"/>
        <w:snapToGrid w:val="0"/>
        <w:spacing w:line="300" w:lineRule="auto"/>
        <w:jc w:val="center"/>
        <w:rPr>
          <w:rFonts w:ascii="华文中宋" w:eastAsia="华文中宋" w:hAnsi="华文中宋"/>
          <w:color w:val="000000"/>
          <w:sz w:val="28"/>
          <w:szCs w:val="28"/>
        </w:rPr>
      </w:pPr>
    </w:p>
    <w:p>
      <w:pPr>
        <w:widowControl/>
        <w:jc w:val="left"/>
        <w:rPr>
          <w:rFonts w:ascii="华文中宋" w:eastAsia="华文中宋" w:hAnsi="华文中宋"/>
          <w:color w:val="000000"/>
          <w:sz w:val="28"/>
          <w:szCs w:val="28"/>
        </w:rPr>
      </w:pPr>
      <w:r>
        <w:rPr>
          <w:rFonts w:ascii="华文中宋" w:eastAsia="华文中宋" w:hAnsi="华文中宋"/>
          <w:color w:val="000000"/>
          <w:sz w:val="28"/>
          <w:szCs w:val="28"/>
        </w:rPr>
        <w:br w:type="page"/>
      </w:r>
    </w:p>
    <w:p>
      <w:pPr>
        <w:adjustRightInd w:val="0"/>
        <w:snapToGrid w:val="0"/>
        <w:spacing w:line="300" w:lineRule="auto"/>
        <w:jc w:val="center"/>
        <w:rPr>
          <w:rFonts w:ascii="华文中宋" w:eastAsia="华文中宋" w:hAnsi="华文中宋"/>
          <w:color w:val="000000"/>
          <w:sz w:val="28"/>
          <w:szCs w:val="28"/>
        </w:rPr>
      </w:pPr>
    </w:p>
    <w:p>
      <w:pPr>
        <w:adjustRightInd w:val="0"/>
        <w:snapToGrid w:val="0"/>
        <w:spacing w:line="300" w:lineRule="auto"/>
        <w:jc w:val="center"/>
        <w:rPr>
          <w:rFonts w:ascii="华文中宋" w:eastAsia="华文中宋" w:hAnsi="华文中宋"/>
          <w:color w:val="000000"/>
          <w:sz w:val="28"/>
          <w:szCs w:val="28"/>
        </w:rPr>
      </w:pPr>
    </w:p>
    <w:p>
      <w:pPr>
        <w:adjustRightInd w:val="0"/>
        <w:snapToGrid w:val="0"/>
        <w:spacing w:line="300" w:lineRule="auto"/>
        <w:jc w:val="center"/>
        <w:rPr>
          <w:rFonts w:ascii="华文中宋" w:eastAsia="华文中宋" w:hAnsi="华文中宋"/>
          <w:color w:val="000000"/>
          <w:sz w:val="28"/>
          <w:szCs w:val="28"/>
        </w:rPr>
      </w:pPr>
    </w:p>
    <w:p>
      <w:pPr>
        <w:jc w:val="center"/>
        <w:rPr>
          <w:rFonts w:ascii="黑体" w:eastAsia="黑体" w:hAnsi="黑体" w:cs="黑体"/>
          <w:sz w:val="44"/>
          <w:szCs w:val="44"/>
        </w:rPr>
      </w:pPr>
    </w:p>
    <w:p>
      <w:pPr>
        <w:jc w:val="center"/>
        <w:rPr>
          <w:rFonts w:ascii="黑体" w:eastAsia="黑体" w:hAnsi="黑体" w:cs="黑体"/>
          <w:sz w:val="44"/>
          <w:szCs w:val="44"/>
        </w:rPr>
      </w:pPr>
      <w:r>
        <w:rPr>
          <w:rFonts w:ascii="黑体" w:eastAsia="黑体" w:hAnsi="黑体" w:cs="黑体" w:hint="eastAsia"/>
          <w:sz w:val="44"/>
          <w:szCs w:val="44"/>
        </w:rPr>
        <w:t>招标文件第二册（通用部分）</w:t>
      </w:r>
    </w:p>
    <w:p>
      <w:pPr>
        <w:jc w:val="cente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楷体_GB2312" w:eastAsia="楷体_GB2312" w:hAnsi="Calibri"/>
          <w:b/>
          <w:bCs/>
          <w:color w:val="000000"/>
          <w:sz w:val="28"/>
          <w:szCs w:val="28"/>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r>
        <w:rPr>
          <w:rFonts w:ascii="华文中宋" w:eastAsia="华文中宋" w:hAnsi="Calibri" w:hint="eastAsia"/>
          <w:b/>
          <w:bCs/>
          <w:color w:val="000000"/>
          <w:sz w:val="28"/>
          <w:szCs w:val="22"/>
          <w:lang w:eastAsia="zh-CN"/>
        </w:rPr>
        <w:drawing>
          <wp:inline distT="0" distB="0" distL="114300" distR="114300">
            <wp:extent cx="2130425" cy="1621155"/>
            <wp:effectExtent l="0" t="0" r="3175" b="17145"/>
            <wp:docPr id="3" name="图片 2" descr="龙达招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龙达招标"/>
                    <pic:cNvPicPr>
                      <a:picLocks noChangeAspect="1"/>
                    </pic:cNvPicPr>
                  </pic:nvPicPr>
                  <pic:blipFill>
                    <a:blip xmlns:r="http://schemas.openxmlformats.org/officeDocument/2006/relationships" r:embed="rId5"/>
                    <a:stretch>
                      <a:fillRect/>
                    </a:stretch>
                  </pic:blipFill>
                  <pic:spPr>
                    <a:xfrm>
                      <a:off x="0" y="0"/>
                      <a:ext cx="2130425" cy="1621155"/>
                    </a:xfrm>
                    <a:prstGeom prst="rect">
                      <a:avLst/>
                    </a:prstGeom>
                    <a:noFill/>
                    <a:ln>
                      <a:noFill/>
                    </a:ln>
                  </pic:spPr>
                </pic:pic>
              </a:graphicData>
            </a:graphic>
          </wp:inline>
        </w:drawing>
      </w: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spacing w:after="156" w:afterLines="50" w:line="320" w:lineRule="exact"/>
        <w:jc w:val="both"/>
        <w:rPr>
          <w:rFonts w:ascii="宋体" w:hAnsi="宋体" w:cs="Arial"/>
          <w:b/>
          <w:color w:val="000000"/>
          <w:sz w:val="24"/>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adjustRightInd w:val="0"/>
        <w:snapToGrid w:val="0"/>
        <w:spacing w:line="300" w:lineRule="auto"/>
        <w:jc w:val="center"/>
        <w:rPr>
          <w:rFonts w:ascii="华文中宋" w:eastAsia="华文中宋" w:hAnsi="Calibri"/>
          <w:b/>
          <w:bCs/>
          <w:color w:val="000000"/>
          <w:sz w:val="28"/>
          <w:szCs w:val="22"/>
        </w:rPr>
      </w:pPr>
    </w:p>
    <w:p>
      <w:pPr>
        <w:widowControl/>
        <w:spacing w:line="480" w:lineRule="exact"/>
        <w:jc w:val="center"/>
        <w:rPr>
          <w:rFonts w:ascii="黑体" w:eastAsia="黑体" w:hAnsi="华文中宋" w:cs="Arial"/>
          <w:color w:val="000000"/>
          <w:szCs w:val="21"/>
        </w:rPr>
      </w:pPr>
      <w:r>
        <w:rPr>
          <w:rFonts w:ascii="黑体" w:eastAsia="黑体" w:hAnsi="华文中宋" w:cs="Arial" w:hint="eastAsia"/>
          <w:color w:val="000000"/>
          <w:sz w:val="32"/>
          <w:szCs w:val="32"/>
        </w:rPr>
        <w:t>深圳龙达招标有限公司</w:t>
      </w:r>
    </w:p>
    <w:p>
      <w:pPr>
        <w:spacing w:line="400" w:lineRule="exact"/>
        <w:jc w:val="center"/>
        <w:rPr>
          <w:rFonts w:ascii="仿宋_GB2312" w:eastAsia="仿宋_GB2312"/>
          <w:sz w:val="28"/>
          <w:szCs w:val="28"/>
        </w:rPr>
      </w:pPr>
      <w:r>
        <w:rPr>
          <w:rFonts w:ascii="黑体" w:eastAsia="黑体" w:hAnsi="华文中宋" w:cs="Arial" w:hint="eastAsia"/>
          <w:color w:val="000000"/>
          <w:sz w:val="32"/>
          <w:szCs w:val="32"/>
        </w:rPr>
        <w:t>二</w:t>
      </w:r>
      <w:r>
        <w:rPr>
          <w:rFonts w:ascii="黑体" w:eastAsia="黑体" w:hAnsi="华文中宋" w:hint="eastAsia"/>
          <w:sz w:val="28"/>
          <w:szCs w:val="28"/>
        </w:rPr>
        <w:t>○</w:t>
      </w:r>
      <w:r>
        <w:rPr>
          <w:rFonts w:ascii="黑体" w:eastAsia="黑体" w:hAnsi="华文中宋" w:cs="Arial" w:hint="eastAsia"/>
          <w:color w:val="000000"/>
          <w:sz w:val="32"/>
          <w:szCs w:val="32"/>
        </w:rPr>
        <w:t>二</w:t>
      </w:r>
      <w:r>
        <w:rPr>
          <w:rFonts w:ascii="黑体" w:eastAsia="黑体" w:hAnsi="华文中宋" w:hint="eastAsia"/>
          <w:sz w:val="28"/>
          <w:szCs w:val="28"/>
          <w:lang w:val="en-US" w:eastAsia="zh-CN"/>
        </w:rPr>
        <w:t>六</w:t>
      </w:r>
      <w:r>
        <w:rPr>
          <w:rFonts w:ascii="黑体" w:eastAsia="黑体" w:hAnsi="华文中宋" w:cs="Arial" w:hint="eastAsia"/>
          <w:color w:val="000000"/>
          <w:sz w:val="32"/>
          <w:szCs w:val="32"/>
        </w:rPr>
        <w:t>年</w:t>
      </w:r>
    </w:p>
    <w:p>
      <w:pPr>
        <w:widowControl/>
        <w:jc w:val="left"/>
      </w:pPr>
    </w:p>
    <w:p>
      <w:pPr>
        <w:widowControl/>
        <w:jc w:val="left"/>
      </w:pPr>
      <w:r>
        <w:br w:type="page"/>
      </w:r>
    </w:p>
    <w:p>
      <w:pPr>
        <w:spacing w:line="400" w:lineRule="exact"/>
      </w:pPr>
    </w:p>
    <w:p>
      <w:pPr>
        <w:pStyle w:val="Heading1"/>
        <w:jc w:val="center"/>
      </w:pPr>
      <w:bookmarkStart w:id="479" w:name="_Toc31802"/>
      <w:bookmarkStart w:id="480" w:name="_Toc24888"/>
      <w:bookmarkStart w:id="481" w:name="_Toc14652"/>
      <w:bookmarkStart w:id="482" w:name="_Toc256000085"/>
      <w:r>
        <w:rPr>
          <w:rFonts w:hint="eastAsia"/>
        </w:rPr>
        <w:t>第七章 投标人须知</w:t>
      </w:r>
      <w:bookmarkEnd w:id="482"/>
      <w:bookmarkEnd w:id="463"/>
      <w:bookmarkEnd w:id="464"/>
      <w:bookmarkEnd w:id="465"/>
      <w:bookmarkEnd w:id="466"/>
      <w:bookmarkEnd w:id="467"/>
      <w:bookmarkEnd w:id="468"/>
      <w:bookmarkEnd w:id="469"/>
      <w:bookmarkEnd w:id="470"/>
      <w:bookmarkEnd w:id="479"/>
      <w:bookmarkEnd w:id="480"/>
      <w:bookmarkEnd w:id="481"/>
    </w:p>
    <w:p/>
    <w:p>
      <w:pPr>
        <w:pStyle w:val="Heading2"/>
      </w:pPr>
      <w:bookmarkStart w:id="483" w:name="_Toc12619"/>
      <w:bookmarkStart w:id="484" w:name="_Toc12080"/>
      <w:bookmarkStart w:id="485" w:name="_Toc18089"/>
      <w:bookmarkStart w:id="486" w:name="_Toc22970"/>
      <w:bookmarkStart w:id="487" w:name="_Toc256000086"/>
      <w:r>
        <w:rPr>
          <w:rFonts w:hint="eastAsia"/>
        </w:rPr>
        <w:t>1. 总则</w:t>
      </w:r>
      <w:bookmarkEnd w:id="487"/>
      <w:bookmarkEnd w:id="471"/>
      <w:bookmarkEnd w:id="472"/>
      <w:bookmarkEnd w:id="473"/>
      <w:bookmarkEnd w:id="474"/>
      <w:bookmarkEnd w:id="475"/>
      <w:bookmarkEnd w:id="476"/>
      <w:bookmarkEnd w:id="477"/>
      <w:bookmarkEnd w:id="478"/>
      <w:bookmarkEnd w:id="483"/>
      <w:bookmarkEnd w:id="484"/>
      <w:bookmarkEnd w:id="485"/>
      <w:bookmarkEnd w:id="486"/>
    </w:p>
    <w:p>
      <w:pPr>
        <w:pStyle w:val="Heading3"/>
      </w:pPr>
      <w:bookmarkStart w:id="488" w:name="_Toc296602421"/>
      <w:bookmarkStart w:id="489" w:name="_Toc10638"/>
      <w:bookmarkStart w:id="490" w:name="_Toc152042306"/>
      <w:bookmarkStart w:id="491" w:name="_Toc179632547"/>
      <w:bookmarkStart w:id="492" w:name="_Toc246996176"/>
      <w:bookmarkStart w:id="493" w:name="_Toc23497"/>
      <w:bookmarkStart w:id="494" w:name="_Toc31757"/>
      <w:bookmarkStart w:id="495" w:name="_Toc246996919"/>
      <w:bookmarkStart w:id="496" w:name="_Toc30878"/>
      <w:bookmarkStart w:id="497" w:name="_Toc144974498"/>
      <w:bookmarkStart w:id="498" w:name="_Toc152045530"/>
      <w:bookmarkStart w:id="499" w:name="_Toc247085690"/>
      <w:bookmarkStart w:id="500" w:name="_Toc256000087"/>
      <w:r>
        <w:rPr>
          <w:rFonts w:hint="eastAsia"/>
        </w:rPr>
        <w:t>1.1 项目概况</w:t>
      </w:r>
      <w:bookmarkEnd w:id="500"/>
      <w:bookmarkEnd w:id="488"/>
      <w:bookmarkEnd w:id="489"/>
      <w:bookmarkEnd w:id="490"/>
      <w:bookmarkEnd w:id="491"/>
      <w:bookmarkEnd w:id="492"/>
      <w:bookmarkEnd w:id="493"/>
      <w:bookmarkEnd w:id="494"/>
      <w:bookmarkEnd w:id="495"/>
      <w:bookmarkEnd w:id="496"/>
      <w:bookmarkEnd w:id="497"/>
      <w:bookmarkEnd w:id="498"/>
      <w:bookmarkEnd w:id="499"/>
    </w:p>
    <w:p>
      <w:pPr>
        <w:spacing w:line="400" w:lineRule="exact"/>
        <w:ind w:firstLine="420" w:firstLineChars="200"/>
      </w:pPr>
      <w:r>
        <w:rPr>
          <w:rFonts w:hint="eastAsia"/>
        </w:rPr>
        <w:t>1.1.1根据《中华人民共和国政府采购法》和《深圳经济特区政府采购条例》等有关法律、法规和规章的规定，本招标项目已具备招标条件，现以</w:t>
      </w:r>
      <w:r>
        <w:rPr>
          <w:rFonts w:eastAsia="黑体" w:hint="eastAsia"/>
          <w:b/>
        </w:rPr>
        <w:t>投标资料表</w:t>
      </w:r>
      <w:r>
        <w:rPr>
          <w:rFonts w:hint="eastAsia"/>
        </w:rPr>
        <w:t>所述招标方式进行招标。</w:t>
      </w:r>
    </w:p>
    <w:p>
      <w:pPr>
        <w:spacing w:line="400" w:lineRule="exact"/>
        <w:ind w:firstLine="420" w:firstLineChars="200"/>
      </w:pPr>
      <w:r>
        <w:rPr>
          <w:rFonts w:hint="eastAsia"/>
        </w:rPr>
        <w:t>1.1.2 本招标项目采购人：见</w:t>
      </w:r>
      <w:r>
        <w:rPr>
          <w:rFonts w:eastAsia="黑体" w:hint="eastAsia"/>
          <w:b/>
        </w:rPr>
        <w:t>投标资料表</w:t>
      </w:r>
      <w:r>
        <w:rPr>
          <w:rFonts w:hint="eastAsia"/>
        </w:rPr>
        <w:t>。</w:t>
      </w:r>
    </w:p>
    <w:p>
      <w:pPr>
        <w:spacing w:line="400" w:lineRule="exact"/>
        <w:ind w:firstLine="420" w:firstLineChars="200"/>
      </w:pPr>
      <w:r>
        <w:rPr>
          <w:rFonts w:hint="eastAsia"/>
        </w:rPr>
        <w:t>1.1.3 本招标项目采购代理机构：见</w:t>
      </w:r>
      <w:r>
        <w:rPr>
          <w:rFonts w:eastAsia="黑体" w:hint="eastAsia"/>
          <w:b/>
        </w:rPr>
        <w:t>投标资料表</w:t>
      </w:r>
      <w:r>
        <w:rPr>
          <w:rFonts w:hint="eastAsia"/>
        </w:rPr>
        <w:t>。</w:t>
      </w:r>
    </w:p>
    <w:p>
      <w:pPr>
        <w:spacing w:line="400" w:lineRule="exact"/>
        <w:ind w:firstLine="420" w:firstLineChars="200"/>
      </w:pPr>
      <w:r>
        <w:rPr>
          <w:rFonts w:hint="eastAsia"/>
        </w:rPr>
        <w:t>1.1.4 本招标项目名称：见</w:t>
      </w:r>
      <w:r>
        <w:rPr>
          <w:rFonts w:eastAsia="黑体" w:hint="eastAsia"/>
          <w:b/>
        </w:rPr>
        <w:t>投标资料表</w:t>
      </w:r>
      <w:r>
        <w:rPr>
          <w:rFonts w:hint="eastAsia"/>
        </w:rPr>
        <w:t>。</w:t>
      </w:r>
    </w:p>
    <w:p>
      <w:pPr>
        <w:spacing w:line="400" w:lineRule="exact"/>
        <w:ind w:firstLine="420" w:firstLineChars="200"/>
      </w:pPr>
      <w:r>
        <w:rPr>
          <w:rFonts w:hint="eastAsia"/>
        </w:rPr>
        <w:t>1.1.5 本招标项目实施地点：见</w:t>
      </w:r>
      <w:r>
        <w:rPr>
          <w:rFonts w:eastAsia="黑体" w:hint="eastAsia"/>
          <w:b/>
        </w:rPr>
        <w:t>投标资料表</w:t>
      </w:r>
      <w:r>
        <w:rPr>
          <w:rFonts w:hint="eastAsia"/>
        </w:rPr>
        <w:t>。</w:t>
      </w:r>
    </w:p>
    <w:p>
      <w:pPr>
        <w:spacing w:line="400" w:lineRule="exact"/>
        <w:ind w:firstLine="420" w:firstLineChars="200"/>
      </w:pPr>
      <w:r>
        <w:rPr>
          <w:rFonts w:hint="eastAsia"/>
        </w:rPr>
        <w:t>1.1.6 信息发布媒体：本项目招标公告、变更公告、中标公告等政府采购信息在</w:t>
      </w:r>
      <w:r>
        <w:rPr>
          <w:rFonts w:eastAsia="黑体" w:hint="eastAsia"/>
          <w:b/>
        </w:rPr>
        <w:t>投标资料表</w:t>
      </w:r>
      <w:r>
        <w:rPr>
          <w:rFonts w:hint="eastAsia"/>
        </w:rPr>
        <w:t>规定的媒体发布。</w:t>
      </w:r>
    </w:p>
    <w:p>
      <w:pPr>
        <w:pStyle w:val="Heading3"/>
      </w:pPr>
      <w:bookmarkStart w:id="501" w:name="_Toc247085691"/>
      <w:bookmarkStart w:id="502" w:name="_Toc11718"/>
      <w:bookmarkStart w:id="503" w:name="_Toc246996920"/>
      <w:bookmarkStart w:id="504" w:name="_Toc152045531"/>
      <w:bookmarkStart w:id="505" w:name="_Toc296602422"/>
      <w:bookmarkStart w:id="506" w:name="_Toc7759"/>
      <w:bookmarkStart w:id="507" w:name="_Toc152042307"/>
      <w:bookmarkStart w:id="508" w:name="_Toc246996177"/>
      <w:bookmarkStart w:id="509" w:name="_Toc179632548"/>
      <w:bookmarkStart w:id="510" w:name="_Toc28762"/>
      <w:bookmarkStart w:id="511" w:name="_Toc6981"/>
      <w:bookmarkStart w:id="512" w:name="_Toc144974499"/>
      <w:bookmarkStart w:id="513" w:name="_Toc256000088"/>
      <w:r>
        <w:rPr>
          <w:rFonts w:hint="eastAsia"/>
        </w:rPr>
        <w:t>1.2 资金来源和落实情况</w:t>
      </w:r>
      <w:bookmarkEnd w:id="513"/>
      <w:bookmarkEnd w:id="501"/>
      <w:bookmarkEnd w:id="502"/>
      <w:bookmarkEnd w:id="503"/>
      <w:bookmarkEnd w:id="504"/>
      <w:bookmarkEnd w:id="505"/>
      <w:bookmarkEnd w:id="506"/>
      <w:bookmarkEnd w:id="507"/>
      <w:bookmarkEnd w:id="508"/>
      <w:bookmarkEnd w:id="509"/>
      <w:bookmarkEnd w:id="510"/>
      <w:bookmarkEnd w:id="511"/>
      <w:bookmarkEnd w:id="512"/>
    </w:p>
    <w:p>
      <w:pPr>
        <w:spacing w:line="400" w:lineRule="exact"/>
        <w:ind w:firstLine="420" w:firstLineChars="200"/>
      </w:pPr>
      <w:r>
        <w:rPr>
          <w:rFonts w:hint="eastAsia"/>
        </w:rPr>
        <w:t>1.2.1 本招标项目的资金来源及出资比例：见</w:t>
      </w:r>
      <w:r>
        <w:rPr>
          <w:rFonts w:eastAsia="黑体" w:hint="eastAsia"/>
          <w:b/>
        </w:rPr>
        <w:t>投标资料表</w:t>
      </w:r>
      <w:r>
        <w:rPr>
          <w:rFonts w:hint="eastAsia"/>
        </w:rPr>
        <w:t>。</w:t>
      </w:r>
    </w:p>
    <w:p>
      <w:pPr>
        <w:spacing w:line="400" w:lineRule="exact"/>
        <w:ind w:firstLine="420" w:firstLineChars="200"/>
      </w:pPr>
      <w:r>
        <w:rPr>
          <w:rFonts w:hint="eastAsia"/>
        </w:rPr>
        <w:t>1.2.2 本招标项目的资金落实情况：见</w:t>
      </w:r>
      <w:r>
        <w:rPr>
          <w:rFonts w:eastAsia="黑体" w:hint="eastAsia"/>
          <w:b/>
        </w:rPr>
        <w:t>投标资料表</w:t>
      </w:r>
      <w:r>
        <w:rPr>
          <w:rFonts w:hint="eastAsia"/>
        </w:rPr>
        <w:t>。</w:t>
      </w:r>
    </w:p>
    <w:p>
      <w:pPr>
        <w:pStyle w:val="Heading3"/>
      </w:pPr>
      <w:bookmarkStart w:id="514" w:name="_Toc152042310"/>
      <w:bookmarkStart w:id="515" w:name="_Toc179632551"/>
      <w:bookmarkStart w:id="516" w:name="_Toc246996179"/>
      <w:bookmarkStart w:id="517" w:name="_Toc152045534"/>
      <w:bookmarkStart w:id="518" w:name="_Toc296602424"/>
      <w:bookmarkStart w:id="519" w:name="_Toc144974502"/>
      <w:bookmarkStart w:id="520" w:name="_Toc247085693"/>
      <w:bookmarkStart w:id="521" w:name="_Toc246996922"/>
      <w:bookmarkStart w:id="522" w:name="_Toc29565"/>
      <w:bookmarkStart w:id="523" w:name="_Toc26777"/>
      <w:bookmarkStart w:id="524" w:name="_Toc23177"/>
      <w:bookmarkStart w:id="525" w:name="_Toc6051"/>
      <w:bookmarkStart w:id="526" w:name="_Toc256000089"/>
      <w:r>
        <w:rPr>
          <w:rFonts w:hint="eastAsia"/>
        </w:rPr>
        <w:t xml:space="preserve">1.3 </w:t>
      </w:r>
      <w:bookmarkEnd w:id="514"/>
      <w:bookmarkEnd w:id="515"/>
      <w:bookmarkEnd w:id="516"/>
      <w:bookmarkEnd w:id="517"/>
      <w:bookmarkEnd w:id="518"/>
      <w:bookmarkEnd w:id="519"/>
      <w:bookmarkEnd w:id="520"/>
      <w:bookmarkEnd w:id="521"/>
      <w:r>
        <w:rPr>
          <w:rFonts w:hint="eastAsia"/>
        </w:rPr>
        <w:t>合格的供应商</w:t>
      </w:r>
      <w:bookmarkEnd w:id="526"/>
      <w:bookmarkEnd w:id="522"/>
      <w:bookmarkEnd w:id="523"/>
      <w:bookmarkEnd w:id="524"/>
      <w:bookmarkEnd w:id="525"/>
    </w:p>
    <w:p>
      <w:pPr>
        <w:spacing w:line="400" w:lineRule="exact"/>
        <w:ind w:firstLine="420" w:firstLineChars="200"/>
      </w:pPr>
      <w:r>
        <w:rPr>
          <w:rFonts w:hint="eastAsia"/>
        </w:rPr>
        <w:t>1.3.1 投标人应当符合下列资格条件要求：</w:t>
      </w:r>
    </w:p>
    <w:p>
      <w:pPr>
        <w:spacing w:line="400" w:lineRule="exact"/>
        <w:ind w:firstLine="420" w:firstLineChars="200"/>
      </w:pPr>
      <w:r>
        <w:rPr>
          <w:rFonts w:hint="eastAsia"/>
        </w:rPr>
        <w:t>（1）《中华人民共和国政府采购法》第二十二条第一款规定的条件；</w:t>
      </w:r>
    </w:p>
    <w:p>
      <w:pPr>
        <w:spacing w:line="400" w:lineRule="exact"/>
        <w:ind w:firstLine="420" w:firstLineChars="200"/>
        <w:rPr>
          <w:rFonts w:eastAsia="黑体"/>
          <w:b/>
        </w:rPr>
      </w:pPr>
      <w:r>
        <w:rPr>
          <w:rFonts w:hint="eastAsia"/>
        </w:rPr>
        <w:t>（2）本招标文件规定的投标人特定资格条件，见</w:t>
      </w:r>
      <w:r>
        <w:rPr>
          <w:rFonts w:eastAsia="黑体" w:hint="eastAsia"/>
          <w:b/>
        </w:rPr>
        <w:t>投标资料表；</w:t>
      </w:r>
    </w:p>
    <w:p>
      <w:pPr>
        <w:spacing w:line="400" w:lineRule="exact"/>
        <w:ind w:firstLine="420" w:firstLineChars="200"/>
      </w:pPr>
      <w:r>
        <w:rPr>
          <w:rFonts w:hint="eastAsia"/>
        </w:rPr>
        <w:t>1.3.2 投标人不得存在下列情形之一：</w:t>
      </w:r>
    </w:p>
    <w:p>
      <w:pPr>
        <w:spacing w:line="400" w:lineRule="exact"/>
        <w:ind w:firstLine="420" w:firstLineChars="200"/>
      </w:pPr>
      <w:r>
        <w:rPr>
          <w:rFonts w:hint="eastAsia"/>
        </w:rPr>
        <w:t>（1）为采购人的附属机构，或与采购人存在利害关系可能影响招标公正性的。</w:t>
      </w:r>
    </w:p>
    <w:p>
      <w:pPr>
        <w:spacing w:line="400" w:lineRule="exact"/>
        <w:ind w:firstLine="420" w:firstLineChars="200"/>
      </w:pPr>
      <w:r>
        <w:rPr>
          <w:rFonts w:hint="eastAsia"/>
        </w:rPr>
        <w:t>（2）单位负责人为同一人或者存在直接控股、管理关系的不同供应商，不得参加同一合同项下的政府采购活动。</w:t>
      </w:r>
    </w:p>
    <w:p>
      <w:pPr>
        <w:spacing w:line="400" w:lineRule="exact"/>
        <w:ind w:firstLine="420" w:firstLineChars="200"/>
      </w:pPr>
      <w:r>
        <w:rPr>
          <w:rFonts w:hint="eastAsia"/>
        </w:rPr>
        <w:t>（3）为采购项目提供整体设计、规范编制或者项目管理、监理、检测等服务的供应商，不得再参加该采购项目的其他采购活动。</w:t>
      </w:r>
    </w:p>
    <w:p>
      <w:pPr>
        <w:spacing w:line="400" w:lineRule="exact"/>
        <w:ind w:firstLine="420" w:firstLineChars="200"/>
      </w:pPr>
      <w:r>
        <w:rPr>
          <w:rFonts w:hint="eastAsia"/>
        </w:rPr>
        <w:t>（4）在信息系统建设中，已为整体采购项目或者其中分项目前期工作提供设计、编制规范、进行管理等的供应商及其附属机构，不得再参加该整体采购项目及其所有分项目的采购活动，凡为分项目提供上述服务的供应商及其附属机构，不得再参加分项目的采购活动。</w:t>
      </w:r>
    </w:p>
    <w:p>
      <w:pPr>
        <w:spacing w:line="400" w:lineRule="exact"/>
        <w:ind w:firstLine="420" w:firstLineChars="200"/>
      </w:pPr>
      <w:r>
        <w:rPr>
          <w:rFonts w:hint="eastAsia"/>
        </w:rPr>
        <w:t>（5）为本招标项目的采购代理机构。</w:t>
      </w:r>
    </w:p>
    <w:p>
      <w:pPr>
        <w:spacing w:line="400" w:lineRule="exact"/>
        <w:ind w:firstLine="420" w:firstLineChars="200"/>
      </w:pPr>
      <w:r>
        <w:rPr>
          <w:rFonts w:hint="eastAsia"/>
        </w:rPr>
        <w:t>（6）为本招标项目的代建单位。</w:t>
      </w:r>
    </w:p>
    <w:p>
      <w:pPr>
        <w:spacing w:line="400" w:lineRule="exact"/>
        <w:ind w:firstLine="420" w:firstLineChars="200"/>
      </w:pPr>
      <w:r>
        <w:rPr>
          <w:rFonts w:hint="eastAsia"/>
        </w:rPr>
        <w:t>（7）供应商在参加政府采购活动前3年内因违法经营受到刑事处罚或责令停产停业、吊销许可证或者执照、较大数额罚款等行政处罚的。供应商在参加政府采购活动前3年内因违法经营被禁止在一定期限内参加政府采购活动，期限届满的，可以参加政府采购活动。</w:t>
      </w:r>
    </w:p>
    <w:p>
      <w:pPr>
        <w:pStyle w:val="Heading3"/>
      </w:pPr>
      <w:bookmarkStart w:id="527" w:name="_Toc30311"/>
      <w:bookmarkStart w:id="528" w:name="_Toc17237"/>
      <w:bookmarkStart w:id="529" w:name="_Toc17661"/>
      <w:bookmarkStart w:id="530" w:name="_Toc31733"/>
      <w:bookmarkStart w:id="531" w:name="_Toc256000090"/>
      <w:r>
        <w:rPr>
          <w:rFonts w:hint="eastAsia"/>
        </w:rPr>
        <w:t>1.4 联合体投标</w:t>
      </w:r>
      <w:bookmarkEnd w:id="531"/>
      <w:bookmarkEnd w:id="527"/>
      <w:bookmarkEnd w:id="528"/>
      <w:bookmarkEnd w:id="529"/>
      <w:bookmarkEnd w:id="530"/>
    </w:p>
    <w:p>
      <w:pPr>
        <w:spacing w:line="400" w:lineRule="exact"/>
        <w:ind w:firstLine="420" w:firstLineChars="200"/>
      </w:pPr>
      <w:r>
        <w:rPr>
          <w:rFonts w:hint="eastAsia"/>
        </w:rPr>
        <w:t xml:space="preserve">1.4.1接受联合体投标的，联合体应遵守以下规定： </w:t>
      </w:r>
    </w:p>
    <w:p>
      <w:pPr>
        <w:spacing w:line="400" w:lineRule="exact"/>
        <w:ind w:firstLine="420" w:firstLineChars="200"/>
      </w:pPr>
      <w:r>
        <w:rPr>
          <w:rFonts w:hint="eastAsia"/>
        </w:rPr>
        <w:t>（1）联合体各方应签订联合体协议书，明确联合体牵头人和各方权利义务；</w:t>
      </w:r>
    </w:p>
    <w:p>
      <w:pPr>
        <w:spacing w:line="400" w:lineRule="exact"/>
        <w:ind w:firstLine="420" w:firstLineChars="200"/>
      </w:pPr>
      <w:r>
        <w:rPr>
          <w:rFonts w:hint="eastAsia"/>
        </w:rPr>
        <w:t>（2）联合体各方不得再单独参加或者与其他供应商组成联合体参加同一合同项下的政府采购活动；</w:t>
      </w:r>
    </w:p>
    <w:p>
      <w:pPr>
        <w:spacing w:line="400" w:lineRule="exact"/>
        <w:ind w:firstLine="420" w:firstLineChars="200"/>
      </w:pPr>
      <w:r>
        <w:rPr>
          <w:rFonts w:hint="eastAsia"/>
        </w:rPr>
        <w:t>（3）联合体对外承担连带责任。</w:t>
      </w:r>
    </w:p>
    <w:p>
      <w:pPr>
        <w:spacing w:line="400" w:lineRule="exact"/>
        <w:ind w:firstLine="420" w:firstLineChars="200"/>
      </w:pPr>
      <w:r>
        <w:rPr>
          <w:rFonts w:hint="eastAsia"/>
        </w:rPr>
        <w:t>1.4.2联合体投标时，联合体各方均应符合政府采购法第二十二条规定的条件。联合体中有同类资质的供应商按照联合体分工承担相同工作的，按照资质等级较低的供应商确定资质等级。</w:t>
      </w:r>
    </w:p>
    <w:p>
      <w:pPr>
        <w:pStyle w:val="Heading3"/>
      </w:pPr>
      <w:bookmarkStart w:id="532" w:name="_Toc25789"/>
      <w:bookmarkStart w:id="533" w:name="_Toc24550"/>
      <w:bookmarkStart w:id="534" w:name="_Toc10060"/>
      <w:bookmarkStart w:id="535" w:name="_Toc7227"/>
      <w:bookmarkStart w:id="536" w:name="_Toc256000091"/>
      <w:r>
        <w:rPr>
          <w:rFonts w:hint="eastAsia"/>
        </w:rPr>
        <w:t>1.5进口产品采购</w:t>
      </w:r>
      <w:bookmarkEnd w:id="536"/>
      <w:bookmarkEnd w:id="532"/>
      <w:bookmarkEnd w:id="533"/>
      <w:bookmarkEnd w:id="534"/>
      <w:bookmarkEnd w:id="535"/>
    </w:p>
    <w:p>
      <w:pPr>
        <w:spacing w:line="400" w:lineRule="exact"/>
        <w:ind w:firstLine="420" w:firstLineChars="200"/>
      </w:pPr>
      <w:r>
        <w:t>1.</w:t>
      </w:r>
      <w:r>
        <w:rPr>
          <w:rFonts w:hint="eastAsia"/>
        </w:rPr>
        <w:t>5</w:t>
      </w:r>
      <w:r>
        <w:t>.1根据财政部《政府采购进口产品管理办法》（财库[2007]119号）的规定，进口产品是指通过中国海关报关验放进入中国境内且产自关境外的产品。</w:t>
      </w:r>
    </w:p>
    <w:p>
      <w:pPr>
        <w:spacing w:line="400" w:lineRule="exact"/>
        <w:ind w:firstLine="420" w:firstLineChars="200"/>
      </w:pPr>
      <w:r>
        <w:t>1.</w:t>
      </w:r>
      <w:r>
        <w:rPr>
          <w:rFonts w:hint="eastAsia"/>
        </w:rPr>
        <w:t>5</w:t>
      </w:r>
      <w:r>
        <w:t>.2根据财政部办公厅《关于政府采购进口产品管理有关问题的通知》（财办库[2008]248号）的规定，我国现行关境是指适用海关法的中华人民共和国行政管辖区域，不包括香港、澳门和台湾金马等单独关境地区。保税区、出口加工区、保税港区、珠澳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设定为进口产品。</w:t>
      </w:r>
    </w:p>
    <w:p>
      <w:pPr>
        <w:spacing w:line="400" w:lineRule="exact"/>
        <w:ind w:firstLine="420" w:firstLineChars="200"/>
      </w:pPr>
      <w:r>
        <w:rPr>
          <w:rFonts w:hint="eastAsia"/>
        </w:rPr>
        <w:t>1.5.3本项目是否采购进口产品及相关要求见</w:t>
      </w:r>
      <w:r>
        <w:rPr>
          <w:rFonts w:eastAsia="黑体" w:hint="eastAsia"/>
        </w:rPr>
        <w:t>投标资料表</w:t>
      </w:r>
      <w:r>
        <w:rPr>
          <w:rFonts w:hint="eastAsia"/>
        </w:rPr>
        <w:t>。</w:t>
      </w:r>
    </w:p>
    <w:p>
      <w:pPr>
        <w:pStyle w:val="Heading3"/>
      </w:pPr>
      <w:bookmarkStart w:id="537" w:name="_Toc25872"/>
      <w:bookmarkStart w:id="538" w:name="_Toc32696"/>
      <w:bookmarkStart w:id="539" w:name="_Toc152042311"/>
      <w:bookmarkStart w:id="540" w:name="_Toc15674"/>
      <w:bookmarkStart w:id="541" w:name="_Toc247085694"/>
      <w:bookmarkStart w:id="542" w:name="_Toc152045535"/>
      <w:bookmarkStart w:id="543" w:name="_Toc296602425"/>
      <w:bookmarkStart w:id="544" w:name="_Toc15469"/>
      <w:bookmarkStart w:id="545" w:name="_Toc246996923"/>
      <w:bookmarkStart w:id="546" w:name="_Toc179632552"/>
      <w:bookmarkStart w:id="547" w:name="_Toc144974503"/>
      <w:bookmarkStart w:id="548" w:name="_Toc246996180"/>
      <w:bookmarkStart w:id="549" w:name="_Toc256000092"/>
      <w:r>
        <w:rPr>
          <w:rFonts w:hint="eastAsia"/>
        </w:rPr>
        <w:t>1.6 费用承担</w:t>
      </w:r>
      <w:bookmarkEnd w:id="549"/>
      <w:bookmarkEnd w:id="537"/>
      <w:bookmarkEnd w:id="538"/>
      <w:bookmarkEnd w:id="539"/>
      <w:bookmarkEnd w:id="540"/>
      <w:bookmarkEnd w:id="541"/>
      <w:bookmarkEnd w:id="542"/>
      <w:bookmarkEnd w:id="543"/>
      <w:bookmarkEnd w:id="544"/>
      <w:bookmarkEnd w:id="545"/>
      <w:bookmarkEnd w:id="546"/>
      <w:bookmarkEnd w:id="547"/>
      <w:bookmarkEnd w:id="548"/>
    </w:p>
    <w:p>
      <w:pPr>
        <w:spacing w:line="400" w:lineRule="exact"/>
        <w:ind w:firstLine="420" w:firstLineChars="200"/>
      </w:pPr>
      <w:r>
        <w:rPr>
          <w:rFonts w:hint="eastAsia"/>
        </w:rPr>
        <w:t>投标人准备和参加投标活动发生的费用自理。</w:t>
      </w:r>
    </w:p>
    <w:p>
      <w:pPr>
        <w:pStyle w:val="Heading3"/>
      </w:pPr>
      <w:bookmarkStart w:id="550" w:name="_Toc296602426"/>
      <w:bookmarkStart w:id="551" w:name="_Toc152042312"/>
      <w:bookmarkStart w:id="552" w:name="_Toc2108"/>
      <w:bookmarkStart w:id="553" w:name="_Toc21423"/>
      <w:bookmarkStart w:id="554" w:name="_Toc179632553"/>
      <w:bookmarkStart w:id="555" w:name="_Toc247085695"/>
      <w:bookmarkStart w:id="556" w:name="_Toc152045536"/>
      <w:bookmarkStart w:id="557" w:name="_Toc144974504"/>
      <w:bookmarkStart w:id="558" w:name="_Toc246996181"/>
      <w:bookmarkStart w:id="559" w:name="_Toc24942"/>
      <w:bookmarkStart w:id="560" w:name="_Toc246996924"/>
      <w:bookmarkStart w:id="561" w:name="_Toc32025"/>
      <w:bookmarkStart w:id="562" w:name="_Toc256000093"/>
      <w:r>
        <w:rPr>
          <w:rFonts w:hint="eastAsia"/>
        </w:rPr>
        <w:t>1.7 保密</w:t>
      </w:r>
      <w:bookmarkEnd w:id="562"/>
      <w:bookmarkEnd w:id="550"/>
      <w:bookmarkEnd w:id="551"/>
      <w:bookmarkEnd w:id="552"/>
      <w:bookmarkEnd w:id="553"/>
      <w:bookmarkEnd w:id="554"/>
      <w:bookmarkEnd w:id="555"/>
      <w:bookmarkEnd w:id="556"/>
      <w:bookmarkEnd w:id="557"/>
      <w:bookmarkEnd w:id="558"/>
      <w:bookmarkEnd w:id="559"/>
      <w:bookmarkEnd w:id="560"/>
      <w:bookmarkEnd w:id="561"/>
    </w:p>
    <w:p>
      <w:pPr>
        <w:spacing w:line="400" w:lineRule="exact"/>
        <w:ind w:firstLine="420" w:firstLineChars="200"/>
      </w:pPr>
      <w:r>
        <w:rPr>
          <w:rFonts w:hint="eastAsia"/>
        </w:rPr>
        <w:t xml:space="preserve">参与招标投标活动的各方应对招标文件和投标文件中的商业和技术等秘密保密，违者应对由此造成的后果承担法律责任。 </w:t>
      </w:r>
    </w:p>
    <w:p>
      <w:pPr>
        <w:pStyle w:val="Heading3"/>
      </w:pPr>
      <w:bookmarkStart w:id="563" w:name="_Toc144974505"/>
      <w:bookmarkStart w:id="564" w:name="_Toc152045537"/>
      <w:bookmarkStart w:id="565" w:name="_Toc13170"/>
      <w:bookmarkStart w:id="566" w:name="_Toc246996925"/>
      <w:bookmarkStart w:id="567" w:name="_Toc11493"/>
      <w:bookmarkStart w:id="568" w:name="_Toc246996182"/>
      <w:bookmarkStart w:id="569" w:name="_Toc8954"/>
      <w:bookmarkStart w:id="570" w:name="_Toc247085696"/>
      <w:bookmarkStart w:id="571" w:name="_Toc296602427"/>
      <w:bookmarkStart w:id="572" w:name="_Toc179632554"/>
      <w:bookmarkStart w:id="573" w:name="_Toc152042313"/>
      <w:bookmarkStart w:id="574" w:name="_Toc30118"/>
      <w:bookmarkStart w:id="575" w:name="_Toc256000094"/>
      <w:r>
        <w:rPr>
          <w:rFonts w:hint="eastAsia"/>
        </w:rPr>
        <w:t>1.8 语言</w:t>
      </w:r>
      <w:bookmarkEnd w:id="563"/>
      <w:r>
        <w:rPr>
          <w:rFonts w:hint="eastAsia"/>
        </w:rPr>
        <w:t>文字</w:t>
      </w:r>
      <w:bookmarkEnd w:id="575"/>
      <w:bookmarkEnd w:id="564"/>
      <w:bookmarkEnd w:id="565"/>
      <w:bookmarkEnd w:id="566"/>
      <w:bookmarkEnd w:id="567"/>
      <w:bookmarkEnd w:id="568"/>
      <w:bookmarkEnd w:id="569"/>
      <w:bookmarkEnd w:id="570"/>
      <w:bookmarkEnd w:id="571"/>
      <w:bookmarkEnd w:id="572"/>
      <w:bookmarkEnd w:id="573"/>
      <w:bookmarkEnd w:id="574"/>
    </w:p>
    <w:p>
      <w:pPr>
        <w:spacing w:line="400" w:lineRule="exact"/>
        <w:ind w:firstLine="420" w:firstLineChars="200"/>
      </w:pPr>
      <w:bookmarkStart w:id="576" w:name="_Toc247085697"/>
      <w:bookmarkStart w:id="577" w:name="_Toc152042314"/>
      <w:bookmarkStart w:id="578" w:name="_Toc179632555"/>
      <w:bookmarkStart w:id="579" w:name="_Toc152045538"/>
      <w:bookmarkStart w:id="580" w:name="_Toc144974506"/>
      <w:bookmarkStart w:id="581" w:name="_Toc246996183"/>
      <w:bookmarkStart w:id="582" w:name="_Toc246996926"/>
      <w:r>
        <w:rPr>
          <w:rFonts w:hint="eastAsia"/>
        </w:rPr>
        <w:t>除专用术语外，与招标投标有关的语言均使用中文。必要时专用术语应附有中文注释。对不同文字文本投标文件的解释发生异议的，以中文文本为准。</w:t>
      </w:r>
    </w:p>
    <w:p>
      <w:pPr>
        <w:pStyle w:val="Heading3"/>
      </w:pPr>
      <w:bookmarkStart w:id="583" w:name="_Toc296602428"/>
      <w:bookmarkStart w:id="584" w:name="_Toc20601"/>
      <w:bookmarkStart w:id="585" w:name="_Toc16077"/>
      <w:bookmarkStart w:id="586" w:name="_Toc26617"/>
      <w:bookmarkStart w:id="587" w:name="_Toc377"/>
      <w:bookmarkStart w:id="588" w:name="_Toc256000095"/>
      <w:r>
        <w:rPr>
          <w:rFonts w:hint="eastAsia"/>
        </w:rPr>
        <w:t>1.9 计量单位</w:t>
      </w:r>
      <w:bookmarkEnd w:id="588"/>
      <w:bookmarkEnd w:id="576"/>
      <w:bookmarkEnd w:id="577"/>
      <w:bookmarkEnd w:id="578"/>
      <w:bookmarkEnd w:id="579"/>
      <w:bookmarkEnd w:id="580"/>
      <w:bookmarkEnd w:id="581"/>
      <w:bookmarkEnd w:id="582"/>
      <w:bookmarkEnd w:id="583"/>
      <w:bookmarkEnd w:id="584"/>
      <w:bookmarkEnd w:id="585"/>
      <w:bookmarkEnd w:id="586"/>
      <w:bookmarkEnd w:id="587"/>
    </w:p>
    <w:p>
      <w:pPr>
        <w:spacing w:line="400" w:lineRule="exact"/>
        <w:ind w:firstLine="420" w:firstLineChars="200"/>
      </w:pPr>
      <w:r>
        <w:rPr>
          <w:rFonts w:hint="eastAsia"/>
        </w:rPr>
        <w:t>所有计量均采用中华人民共和国法定计量单位。</w:t>
      </w:r>
    </w:p>
    <w:p>
      <w:pPr>
        <w:pStyle w:val="Heading3"/>
      </w:pPr>
      <w:bookmarkStart w:id="589" w:name="_Toc2783"/>
      <w:bookmarkStart w:id="590" w:name="_Toc247592876"/>
      <w:bookmarkStart w:id="591" w:name="_Toc247527563"/>
      <w:bookmarkStart w:id="592" w:name="_Toc22025"/>
      <w:bookmarkStart w:id="593" w:name="_Toc247513962"/>
      <w:bookmarkStart w:id="594" w:name="_Toc296602429"/>
      <w:bookmarkStart w:id="595" w:name="_Toc152045539"/>
      <w:bookmarkStart w:id="596" w:name="_Toc14088"/>
      <w:bookmarkStart w:id="597" w:name="_Toc152042315"/>
      <w:bookmarkStart w:id="598" w:name="_Toc144974507"/>
      <w:bookmarkStart w:id="599" w:name="_Toc5792"/>
      <w:bookmarkStart w:id="600" w:name="_Toc256000096"/>
      <w:r>
        <w:rPr>
          <w:rFonts w:hint="eastAsia"/>
        </w:rPr>
        <w:t>1.10 踏勘现场</w:t>
      </w:r>
      <w:bookmarkEnd w:id="600"/>
      <w:bookmarkEnd w:id="589"/>
      <w:bookmarkEnd w:id="590"/>
      <w:bookmarkEnd w:id="591"/>
      <w:bookmarkEnd w:id="592"/>
      <w:bookmarkEnd w:id="593"/>
      <w:bookmarkEnd w:id="594"/>
      <w:bookmarkEnd w:id="595"/>
      <w:bookmarkEnd w:id="596"/>
      <w:bookmarkEnd w:id="597"/>
      <w:bookmarkEnd w:id="598"/>
      <w:bookmarkEnd w:id="599"/>
    </w:p>
    <w:p>
      <w:pPr>
        <w:spacing w:line="400" w:lineRule="exact"/>
        <w:ind w:firstLine="420" w:firstLineChars="200"/>
      </w:pPr>
      <w:r>
        <w:rPr>
          <w:rFonts w:hint="eastAsia"/>
        </w:rPr>
        <w:t>5.1.如有必要，采购代理机构将按</w:t>
      </w:r>
      <w:r>
        <w:rPr>
          <w:rFonts w:eastAsia="黑体" w:hint="eastAsia"/>
        </w:rPr>
        <w:t>投标资料表</w:t>
      </w:r>
      <w:r>
        <w:rPr>
          <w:rFonts w:hint="eastAsia"/>
        </w:rPr>
        <w:t>所述，或单独以书面形式通知所有获取招标文件的潜在投标人对项目现场及周围环境进行踏勘，以便投标人获取须自己负责的有关编制投标文件和签署合同所需的所有资料。踏勘现场所发生的费用由投标人自己承担。</w:t>
      </w:r>
    </w:p>
    <w:p>
      <w:pPr>
        <w:spacing w:line="400" w:lineRule="exact"/>
        <w:ind w:firstLine="420" w:firstLineChars="200"/>
      </w:pPr>
      <w:r>
        <w:rPr>
          <w:rFonts w:hint="eastAsia"/>
        </w:rPr>
        <w:t>5.2.采购人向投标人提供的有关现场的资料和数据，是采购人现有的能使投标人利用的资料。采购人对投标人由此而做出的推论、理解和结论概不负责。</w:t>
      </w:r>
    </w:p>
    <w:p>
      <w:pPr>
        <w:spacing w:line="400" w:lineRule="exact"/>
        <w:ind w:firstLine="420" w:firstLineChars="200"/>
      </w:pPr>
      <w:r>
        <w:rPr>
          <w:rFonts w:hint="eastAsia"/>
        </w:rPr>
        <w:t>5.3.投标人及其人员经过采购人的允许，可为踏勘目的进入采购人的工程现场，但投标人及其人员不得因此使采购人及其人员承担有关的责任和蒙受损失。投标人并应对由此次踏勘现场而造成的死亡、人身伤害、财产损失、损害以及任何其它损失、损害和引起的费用和开支承担责任。</w:t>
      </w:r>
    </w:p>
    <w:p>
      <w:pPr>
        <w:spacing w:line="400" w:lineRule="exact"/>
        <w:ind w:firstLine="420" w:firstLineChars="200"/>
      </w:pPr>
      <w:r>
        <w:rPr>
          <w:rFonts w:hint="eastAsia"/>
        </w:rPr>
        <w:t>如果投标人认为需要再次进行现场踏勘，采购代理机构和采购人将予以支持，费用自理。</w:t>
      </w:r>
    </w:p>
    <w:p>
      <w:pPr>
        <w:pStyle w:val="Heading3"/>
      </w:pPr>
      <w:bookmarkStart w:id="601" w:name="_Toc24624"/>
      <w:bookmarkStart w:id="602" w:name="_Toc152045540"/>
      <w:bookmarkStart w:id="603" w:name="_Toc296602430"/>
      <w:bookmarkStart w:id="604" w:name="_Toc247527564"/>
      <w:bookmarkStart w:id="605" w:name="_Toc15027"/>
      <w:bookmarkStart w:id="606" w:name="_Toc152042316"/>
      <w:bookmarkStart w:id="607" w:name="_Toc144974508"/>
      <w:bookmarkStart w:id="608" w:name="_Toc7912"/>
      <w:bookmarkStart w:id="609" w:name="_Toc32499"/>
      <w:bookmarkStart w:id="610" w:name="_Toc247513963"/>
      <w:bookmarkStart w:id="611" w:name="_Toc247592877"/>
      <w:bookmarkStart w:id="612" w:name="_Toc256000097"/>
      <w:r>
        <w:rPr>
          <w:rFonts w:hint="eastAsia"/>
        </w:rPr>
        <w:t>1.11 投标预备会</w:t>
      </w:r>
      <w:bookmarkEnd w:id="612"/>
      <w:bookmarkEnd w:id="601"/>
      <w:bookmarkEnd w:id="602"/>
      <w:bookmarkEnd w:id="603"/>
      <w:bookmarkEnd w:id="604"/>
      <w:bookmarkEnd w:id="605"/>
      <w:bookmarkEnd w:id="606"/>
      <w:bookmarkEnd w:id="607"/>
      <w:bookmarkEnd w:id="608"/>
      <w:bookmarkEnd w:id="609"/>
      <w:bookmarkEnd w:id="610"/>
      <w:bookmarkEnd w:id="611"/>
    </w:p>
    <w:p>
      <w:pPr>
        <w:spacing w:line="400" w:lineRule="exact"/>
        <w:ind w:firstLine="420" w:firstLineChars="200"/>
      </w:pPr>
      <w:r>
        <w:rPr>
          <w:rFonts w:hint="eastAsia"/>
        </w:rPr>
        <w:t xml:space="preserve">1.11.1 </w:t>
      </w:r>
      <w:r>
        <w:rPr>
          <w:rFonts w:eastAsia="黑体" w:hint="eastAsia"/>
          <w:b/>
        </w:rPr>
        <w:t>投标资料表</w:t>
      </w:r>
      <w:r>
        <w:rPr>
          <w:rFonts w:hint="eastAsia"/>
        </w:rPr>
        <w:t>规定召开投标预备会的，采购人按</w:t>
      </w:r>
      <w:r>
        <w:rPr>
          <w:rFonts w:eastAsia="黑体" w:hint="eastAsia"/>
          <w:b/>
        </w:rPr>
        <w:t>投标资料表</w:t>
      </w:r>
      <w:r>
        <w:rPr>
          <w:rFonts w:hint="eastAsia"/>
        </w:rPr>
        <w:t>规定的时间和地点召开投标预备会，澄清投标人提出的问题。</w:t>
      </w:r>
    </w:p>
    <w:p>
      <w:pPr>
        <w:spacing w:line="400" w:lineRule="exact"/>
        <w:ind w:firstLine="420" w:firstLineChars="200"/>
      </w:pPr>
      <w:r>
        <w:rPr>
          <w:rFonts w:hint="eastAsia"/>
        </w:rPr>
        <w:t>1.11.2 投标人应在不晚于投标预备会召开前一个工作日，以网上提问形式将提出的问题送达采购人，以便采购人在会议期间澄清。</w:t>
      </w:r>
    </w:p>
    <w:p>
      <w:pPr>
        <w:pStyle w:val="Heading3"/>
      </w:pPr>
      <w:bookmarkStart w:id="613" w:name="_Toc6797"/>
      <w:bookmarkStart w:id="614" w:name="_Toc27970"/>
      <w:bookmarkStart w:id="615" w:name="_Toc18006"/>
      <w:bookmarkStart w:id="616" w:name="_Toc296602431"/>
      <w:bookmarkStart w:id="617" w:name="_Toc26591"/>
      <w:bookmarkStart w:id="618" w:name="_Toc256000098"/>
      <w:r>
        <w:rPr>
          <w:rFonts w:hint="eastAsia"/>
        </w:rPr>
        <w:t>1.12 响应和偏离</w:t>
      </w:r>
      <w:bookmarkEnd w:id="618"/>
      <w:bookmarkEnd w:id="613"/>
      <w:bookmarkEnd w:id="614"/>
      <w:bookmarkEnd w:id="615"/>
      <w:bookmarkEnd w:id="616"/>
      <w:bookmarkEnd w:id="617"/>
    </w:p>
    <w:p>
      <w:pPr>
        <w:spacing w:line="400" w:lineRule="exact"/>
        <w:ind w:firstLine="420" w:firstLineChars="200"/>
        <w:rPr>
          <w:rFonts w:eastAsia="宋体"/>
        </w:rPr>
      </w:pPr>
      <w:r>
        <w:rPr>
          <w:rFonts w:hint="eastAsia"/>
        </w:rPr>
        <w:t>1.12.1本条所称偏离为投标文件对招标文件的偏离。不满足或不响应招标文件要求的投标内容为偏离（本招标文件中称“偏离”或“负偏离”）；优于招标文件要求的投标内容为正偏离。</w:t>
      </w:r>
    </w:p>
    <w:p>
      <w:pPr>
        <w:spacing w:line="400" w:lineRule="exact"/>
        <w:ind w:firstLine="420" w:firstLineChars="200"/>
      </w:pPr>
      <w:r>
        <w:rPr>
          <w:rFonts w:hint="eastAsia"/>
        </w:rPr>
        <w:t>1.12.2除法律、法规和规章规定外，招标文件中标注“★”符号的条款为实质性要求条款，</w:t>
      </w:r>
      <w:r>
        <w:rPr>
          <w:rFonts w:eastAsia="宋体" w:hint="eastAsia"/>
        </w:rPr>
        <w:t>投标文件应当对招标文件的实质性要求和条件作出满足性或更有利于</w:t>
      </w:r>
      <w:r>
        <w:rPr>
          <w:rFonts w:hint="eastAsia"/>
        </w:rPr>
        <w:t>采购人</w:t>
      </w:r>
      <w:r>
        <w:rPr>
          <w:rFonts w:eastAsia="宋体" w:hint="eastAsia"/>
        </w:rPr>
        <w:t>的响应，否则</w:t>
      </w:r>
      <w:r>
        <w:rPr>
          <w:rFonts w:hint="eastAsia"/>
        </w:rPr>
        <w:t>投标无效</w:t>
      </w:r>
      <w:r>
        <w:rPr>
          <w:rFonts w:eastAsia="宋体" w:hint="eastAsia"/>
        </w:rPr>
        <w:t>。</w:t>
      </w:r>
    </w:p>
    <w:p>
      <w:pPr>
        <w:pStyle w:val="Heading2"/>
      </w:pPr>
      <w:bookmarkStart w:id="619" w:name="_Toc152042318"/>
      <w:bookmarkStart w:id="620" w:name="_Toc179632560"/>
      <w:bookmarkStart w:id="621" w:name="_Toc246996930"/>
      <w:bookmarkStart w:id="622" w:name="_Toc247085701"/>
      <w:bookmarkStart w:id="623" w:name="_Toc2161"/>
      <w:bookmarkStart w:id="624" w:name="_Toc296602432"/>
      <w:bookmarkStart w:id="625" w:name="_Toc13533"/>
      <w:bookmarkStart w:id="626" w:name="_Toc27004"/>
      <w:bookmarkStart w:id="627" w:name="_Toc26370"/>
      <w:bookmarkStart w:id="628" w:name="_Toc144974510"/>
      <w:bookmarkStart w:id="629" w:name="_Toc246996187"/>
      <w:bookmarkStart w:id="630" w:name="_Toc152045542"/>
      <w:bookmarkStart w:id="631" w:name="_Toc256000099"/>
      <w:r>
        <w:rPr>
          <w:rFonts w:hint="eastAsia"/>
        </w:rPr>
        <w:t>2. 招标文件</w:t>
      </w:r>
      <w:bookmarkEnd w:id="631"/>
      <w:bookmarkEnd w:id="619"/>
      <w:bookmarkEnd w:id="620"/>
      <w:bookmarkEnd w:id="621"/>
      <w:bookmarkEnd w:id="622"/>
      <w:bookmarkEnd w:id="623"/>
      <w:bookmarkEnd w:id="624"/>
      <w:bookmarkEnd w:id="625"/>
      <w:bookmarkEnd w:id="626"/>
      <w:bookmarkEnd w:id="627"/>
      <w:bookmarkEnd w:id="628"/>
      <w:bookmarkEnd w:id="629"/>
      <w:bookmarkEnd w:id="630"/>
    </w:p>
    <w:p>
      <w:pPr>
        <w:pStyle w:val="Heading3"/>
      </w:pPr>
      <w:bookmarkStart w:id="632" w:name="_Toc144974511"/>
      <w:bookmarkStart w:id="633" w:name="_Toc5385"/>
      <w:bookmarkStart w:id="634" w:name="_Toc12476"/>
      <w:bookmarkStart w:id="635" w:name="_Toc152042319"/>
      <w:bookmarkStart w:id="636" w:name="_Toc247085702"/>
      <w:bookmarkStart w:id="637" w:name="_Toc246996188"/>
      <w:bookmarkStart w:id="638" w:name="_Toc30699"/>
      <w:bookmarkStart w:id="639" w:name="_Toc296602433"/>
      <w:bookmarkStart w:id="640" w:name="_Toc152045543"/>
      <w:bookmarkStart w:id="641" w:name="_Toc246996931"/>
      <w:bookmarkStart w:id="642" w:name="_Toc28916"/>
      <w:bookmarkStart w:id="643" w:name="_Toc179632561"/>
      <w:bookmarkStart w:id="644" w:name="_Toc256000100"/>
      <w:r>
        <w:rPr>
          <w:rFonts w:hint="eastAsia"/>
        </w:rPr>
        <w:t>2.1 招标文件的组成</w:t>
      </w:r>
      <w:bookmarkEnd w:id="644"/>
      <w:bookmarkEnd w:id="632"/>
      <w:bookmarkEnd w:id="633"/>
      <w:bookmarkEnd w:id="634"/>
      <w:bookmarkEnd w:id="635"/>
      <w:bookmarkEnd w:id="636"/>
      <w:bookmarkEnd w:id="637"/>
      <w:bookmarkEnd w:id="638"/>
      <w:bookmarkEnd w:id="639"/>
      <w:bookmarkEnd w:id="640"/>
      <w:bookmarkEnd w:id="641"/>
      <w:bookmarkEnd w:id="642"/>
      <w:bookmarkEnd w:id="643"/>
    </w:p>
    <w:p>
      <w:pPr>
        <w:spacing w:line="400" w:lineRule="exact"/>
      </w:pPr>
      <w:r>
        <w:rPr>
          <w:rFonts w:hint="eastAsia"/>
        </w:rPr>
        <w:t>　　2.1.1 本招标文件包括：</w:t>
      </w:r>
    </w:p>
    <w:p>
      <w:pPr>
        <w:spacing w:line="400" w:lineRule="exact"/>
        <w:ind w:firstLine="359" w:firstLineChars="171"/>
      </w:pPr>
      <w:r>
        <w:rPr>
          <w:rFonts w:hint="eastAsia"/>
        </w:rPr>
        <w:t>招标文件共八章，分两册。</w:t>
      </w:r>
    </w:p>
    <w:p>
      <w:pPr>
        <w:spacing w:line="400" w:lineRule="exact"/>
        <w:ind w:firstLine="359" w:firstLineChars="171"/>
      </w:pPr>
      <w:r>
        <w:rPr>
          <w:rFonts w:hint="eastAsia"/>
        </w:rPr>
        <w:t>第一册是招标项目的专用部分，第二册是招标文件的通用条款。第一册是针对本招标项目的具体招标要求和对第二册的补充修改等。第一册与第二册内容不一致时，以第一册内容为准，其中第二章“项目需求”内容与其他章节不一致时，以第二章“项目需求”为准。</w:t>
      </w:r>
    </w:p>
    <w:p>
      <w:pPr>
        <w:spacing w:line="400" w:lineRule="exact"/>
        <w:ind w:firstLine="359" w:firstLineChars="171"/>
      </w:pPr>
      <w:r>
        <w:rPr>
          <w:rFonts w:hint="eastAsia"/>
        </w:rPr>
        <w:t>各册的内容如下：</w:t>
      </w:r>
    </w:p>
    <w:p>
      <w:pPr>
        <w:spacing w:line="400" w:lineRule="exact"/>
        <w:ind w:firstLine="359" w:firstLineChars="171"/>
        <w:rPr>
          <w:b/>
        </w:rPr>
      </w:pPr>
      <w:r>
        <w:rPr>
          <w:rFonts w:hint="eastAsia"/>
          <w:b/>
        </w:rPr>
        <w:t>第一册</w:t>
      </w:r>
    </w:p>
    <w:p>
      <w:pPr>
        <w:spacing w:line="400" w:lineRule="exact"/>
        <w:ind w:firstLine="840" w:firstLineChars="400"/>
      </w:pPr>
      <w:r>
        <w:rPr>
          <w:rFonts w:hint="eastAsia"/>
        </w:rPr>
        <w:t>第一章投标邀请</w:t>
      </w:r>
    </w:p>
    <w:p>
      <w:pPr>
        <w:spacing w:line="400" w:lineRule="exact"/>
        <w:ind w:firstLine="840" w:firstLineChars="400"/>
      </w:pPr>
      <w:r>
        <w:rPr>
          <w:rFonts w:hint="eastAsia"/>
        </w:rPr>
        <w:t>第二章项目需求</w:t>
      </w:r>
    </w:p>
    <w:p>
      <w:pPr>
        <w:spacing w:line="400" w:lineRule="exact"/>
        <w:ind w:firstLine="840" w:firstLineChars="400"/>
      </w:pPr>
      <w:r>
        <w:rPr>
          <w:rFonts w:hint="eastAsia"/>
        </w:rPr>
        <w:t>第三章 资格审查、评标和定标</w:t>
      </w:r>
    </w:p>
    <w:p>
      <w:pPr>
        <w:spacing w:line="400" w:lineRule="exact"/>
        <w:ind w:firstLine="840" w:firstLineChars="400"/>
      </w:pPr>
      <w:r>
        <w:rPr>
          <w:rFonts w:hint="eastAsia"/>
        </w:rPr>
        <w:t>第四章</w:t>
      </w:r>
      <w:r>
        <w:rPr>
          <w:rFonts w:eastAsia="宋体" w:hint="eastAsia"/>
        </w:rPr>
        <w:t>投标资料表</w:t>
      </w:r>
    </w:p>
    <w:p>
      <w:pPr>
        <w:spacing w:line="400" w:lineRule="exact"/>
        <w:ind w:firstLine="840" w:firstLineChars="400"/>
      </w:pPr>
      <w:r>
        <w:rPr>
          <w:rFonts w:hint="eastAsia"/>
        </w:rPr>
        <w:t>第五章 投标文件格式</w:t>
      </w:r>
    </w:p>
    <w:p>
      <w:pPr>
        <w:spacing w:line="400" w:lineRule="exact"/>
        <w:ind w:firstLine="840" w:firstLineChars="400"/>
      </w:pPr>
      <w:r>
        <w:rPr>
          <w:rFonts w:hint="eastAsia"/>
        </w:rPr>
        <w:t>第六章合同文本</w:t>
      </w:r>
    </w:p>
    <w:p>
      <w:pPr>
        <w:spacing w:line="400" w:lineRule="exact"/>
        <w:ind w:firstLine="359" w:firstLineChars="171"/>
        <w:rPr>
          <w:b/>
        </w:rPr>
      </w:pPr>
      <w:r>
        <w:rPr>
          <w:rFonts w:hint="eastAsia"/>
          <w:b/>
        </w:rPr>
        <w:t>第二册</w:t>
      </w:r>
    </w:p>
    <w:p>
      <w:pPr>
        <w:spacing w:line="400" w:lineRule="exact"/>
        <w:ind w:firstLine="840" w:firstLineChars="400"/>
      </w:pPr>
      <w:r>
        <w:rPr>
          <w:rFonts w:hint="eastAsia"/>
        </w:rPr>
        <w:t>第七章投标人须知</w:t>
      </w:r>
    </w:p>
    <w:p>
      <w:pPr>
        <w:spacing w:line="400" w:lineRule="exact"/>
        <w:ind w:firstLine="840" w:firstLineChars="400"/>
      </w:pPr>
      <w:r>
        <w:rPr>
          <w:rFonts w:hint="eastAsia"/>
        </w:rPr>
        <w:t>第八章附件</w:t>
      </w:r>
    </w:p>
    <w:p>
      <w:pPr>
        <w:spacing w:line="400" w:lineRule="exact"/>
        <w:ind w:firstLine="420" w:firstLineChars="200"/>
      </w:pPr>
      <w:r>
        <w:rPr>
          <w:rFonts w:hint="eastAsia"/>
        </w:rPr>
        <w:t>2.1.2 根据本章第2.2条对招标文件所作的澄清、修改，构成招标文件的组成部分。</w:t>
      </w:r>
    </w:p>
    <w:p>
      <w:pPr>
        <w:spacing w:line="400" w:lineRule="exact"/>
        <w:ind w:firstLine="420" w:firstLineChars="200"/>
      </w:pPr>
      <w:r>
        <w:rPr>
          <w:rFonts w:hint="eastAsia"/>
        </w:rPr>
        <w:t>2.1.3投标人应认真阅读招标文件中所有的事项、格式、条款和技术规格等。投标人没有按照招标文件要求提交全部资料，或者投标没有对招标文件在各方面都作出实质性响应是投标人的风险，并可能导致投标无效。</w:t>
      </w:r>
    </w:p>
    <w:p>
      <w:pPr>
        <w:pStyle w:val="Heading3"/>
      </w:pPr>
      <w:bookmarkStart w:id="645" w:name="_Toc144974512"/>
      <w:bookmarkStart w:id="646" w:name="_Toc246996189"/>
      <w:bookmarkStart w:id="647" w:name="_Toc296602434"/>
      <w:bookmarkStart w:id="648" w:name="_Toc152045544"/>
      <w:bookmarkStart w:id="649" w:name="_Toc246996932"/>
      <w:bookmarkStart w:id="650" w:name="_Toc152042320"/>
      <w:bookmarkStart w:id="651" w:name="_Toc179632562"/>
      <w:bookmarkStart w:id="652" w:name="_Toc247085703"/>
      <w:bookmarkStart w:id="653" w:name="_Toc1475"/>
      <w:bookmarkStart w:id="654" w:name="_Toc24018"/>
      <w:bookmarkStart w:id="655" w:name="_Toc9707"/>
      <w:bookmarkStart w:id="656" w:name="_Toc1285"/>
      <w:bookmarkStart w:id="657" w:name="_Toc256000101"/>
      <w:r>
        <w:rPr>
          <w:rFonts w:hint="eastAsia"/>
        </w:rPr>
        <w:t>2.2 招标文件的澄清</w:t>
      </w:r>
      <w:bookmarkEnd w:id="645"/>
      <w:bookmarkEnd w:id="646"/>
      <w:bookmarkEnd w:id="647"/>
      <w:bookmarkEnd w:id="648"/>
      <w:bookmarkEnd w:id="649"/>
      <w:bookmarkEnd w:id="650"/>
      <w:bookmarkEnd w:id="651"/>
      <w:bookmarkEnd w:id="652"/>
      <w:r>
        <w:rPr>
          <w:rFonts w:hint="eastAsia"/>
        </w:rPr>
        <w:t>与修改</w:t>
      </w:r>
      <w:bookmarkEnd w:id="657"/>
      <w:bookmarkEnd w:id="653"/>
      <w:bookmarkEnd w:id="654"/>
      <w:bookmarkEnd w:id="655"/>
      <w:bookmarkEnd w:id="656"/>
    </w:p>
    <w:p>
      <w:pPr>
        <w:spacing w:line="400" w:lineRule="exact"/>
        <w:ind w:firstLine="420" w:firstLineChars="200"/>
      </w:pPr>
      <w:r>
        <w:rPr>
          <w:rFonts w:hint="eastAsia"/>
        </w:rPr>
        <w:t>2.2.1投标人应仔细阅读和检查招标文件的全部内容。如发现缺页或附件不全，应及时向采购代理机构提出，以便补齐。如有疑问，应在</w:t>
      </w:r>
      <w:r>
        <w:rPr>
          <w:rFonts w:ascii="宋体" w:hAnsi="宋体" w:hint="eastAsia"/>
          <w:szCs w:val="21"/>
        </w:rPr>
        <w:t>招标文件规定的答疑截止时间前按</w:t>
      </w:r>
      <w:r>
        <w:rPr>
          <w:rFonts w:eastAsia="黑体" w:hint="eastAsia"/>
          <w:b/>
        </w:rPr>
        <w:t>投标资料表</w:t>
      </w:r>
      <w:r>
        <w:rPr>
          <w:rFonts w:ascii="宋体" w:hAnsi="宋体" w:hint="eastAsia"/>
          <w:szCs w:val="21"/>
        </w:rPr>
        <w:t>规定的形式</w:t>
      </w:r>
      <w:r>
        <w:rPr>
          <w:rFonts w:hint="eastAsia"/>
        </w:rPr>
        <w:t>送达采购代理机构，要求采购代理机构对招标文件予以澄清。</w:t>
      </w:r>
    </w:p>
    <w:p>
      <w:pPr>
        <w:spacing w:line="400" w:lineRule="exact"/>
        <w:ind w:firstLine="420" w:firstLineChars="200"/>
      </w:pPr>
      <w:r>
        <w:rPr>
          <w:rFonts w:hint="eastAsia"/>
        </w:rPr>
        <w:t>2.2.2采购人或者采购代理机构可以对已发出的招标文件进行必要的澄清或者修改。</w:t>
      </w:r>
    </w:p>
    <w:p>
      <w:pPr>
        <w:spacing w:line="400" w:lineRule="exact"/>
        <w:ind w:firstLine="420" w:firstLineChars="200"/>
      </w:pPr>
      <w:r>
        <w:rPr>
          <w:rFonts w:hint="eastAsia"/>
        </w:rPr>
        <w:t>2.2.3 澄清或修改招标文件的时间距投标截止时间不足3日的，并且澄清或修改内容可能影响投标文件编制的，将相应延长投标截止时间。</w:t>
      </w:r>
    </w:p>
    <w:p>
      <w:pPr>
        <w:spacing w:line="400" w:lineRule="exact"/>
        <w:ind w:firstLine="420" w:firstLineChars="200"/>
      </w:pPr>
      <w:r>
        <w:rPr>
          <w:rFonts w:hint="eastAsia"/>
        </w:rPr>
        <w:t>2.2.5 澄清或者修改的内容为招标文件的组成部分，相应内容均在本章第1.1.6条规定的信息发布媒体发布，并对投标人具有约束力，招标期间，投标人有义务上网查看，公告一经上网发布，即视为送达。招标文件的收受人在收到澄清或修改公告后，应以书面形式通知采购代理机构，确认已收到该澄清或修改公告。</w:t>
      </w:r>
    </w:p>
    <w:p>
      <w:pPr>
        <w:spacing w:line="400" w:lineRule="exact"/>
        <w:ind w:firstLine="420" w:firstLineChars="200"/>
      </w:pPr>
      <w:r>
        <w:rPr>
          <w:rFonts w:hint="eastAsia"/>
        </w:rPr>
        <w:t>2.2.4 除非采购人认为确有必要答复，否则，采购人有权拒绝回复投标人在本章第 2.2.1 条规定的时间后的任何澄清要求。</w:t>
      </w:r>
    </w:p>
    <w:p>
      <w:pPr>
        <w:pStyle w:val="Heading2"/>
      </w:pPr>
      <w:bookmarkStart w:id="658" w:name="_Toc296602436"/>
      <w:bookmarkStart w:id="659" w:name="_Toc152045546"/>
      <w:bookmarkStart w:id="660" w:name="_Toc179632564"/>
      <w:bookmarkStart w:id="661" w:name="_Toc144974514"/>
      <w:bookmarkStart w:id="662" w:name="_Toc152042322"/>
      <w:bookmarkStart w:id="663" w:name="_Toc14489"/>
      <w:bookmarkStart w:id="664" w:name="_Toc246996191"/>
      <w:bookmarkStart w:id="665" w:name="_Toc10921"/>
      <w:bookmarkStart w:id="666" w:name="_Toc30247"/>
      <w:bookmarkStart w:id="667" w:name="_Toc247085705"/>
      <w:bookmarkStart w:id="668" w:name="_Toc5125"/>
      <w:bookmarkStart w:id="669" w:name="_Toc246996934"/>
      <w:bookmarkStart w:id="670" w:name="_Toc256000102"/>
      <w:r>
        <w:rPr>
          <w:rFonts w:hint="eastAsia"/>
        </w:rPr>
        <w:t>3. 投标文件</w:t>
      </w:r>
      <w:bookmarkEnd w:id="670"/>
      <w:bookmarkEnd w:id="658"/>
      <w:bookmarkEnd w:id="659"/>
      <w:bookmarkEnd w:id="660"/>
      <w:bookmarkEnd w:id="661"/>
      <w:bookmarkEnd w:id="662"/>
      <w:bookmarkEnd w:id="663"/>
      <w:bookmarkEnd w:id="664"/>
      <w:bookmarkEnd w:id="665"/>
      <w:bookmarkEnd w:id="666"/>
      <w:bookmarkEnd w:id="667"/>
      <w:bookmarkEnd w:id="668"/>
      <w:bookmarkEnd w:id="669"/>
    </w:p>
    <w:p>
      <w:pPr>
        <w:pStyle w:val="Heading3"/>
      </w:pPr>
      <w:bookmarkStart w:id="671" w:name="_Toc179632565"/>
      <w:bookmarkStart w:id="672" w:name="_Toc246996935"/>
      <w:bookmarkStart w:id="673" w:name="_Toc26364"/>
      <w:bookmarkStart w:id="674" w:name="_Toc296602437"/>
      <w:bookmarkStart w:id="675" w:name="_Toc144974515"/>
      <w:bookmarkStart w:id="676" w:name="_Toc152045547"/>
      <w:bookmarkStart w:id="677" w:name="_Toc2212"/>
      <w:bookmarkStart w:id="678" w:name="_Toc152042323"/>
      <w:bookmarkStart w:id="679" w:name="_Toc4618"/>
      <w:bookmarkStart w:id="680" w:name="_Toc247085706"/>
      <w:bookmarkStart w:id="681" w:name="_Toc4511"/>
      <w:bookmarkStart w:id="682" w:name="_Toc246996192"/>
      <w:bookmarkStart w:id="683" w:name="_Toc256000103"/>
      <w:r>
        <w:rPr>
          <w:rFonts w:hint="eastAsia"/>
        </w:rPr>
        <w:t>3.1 投标文件的组成</w:t>
      </w:r>
      <w:bookmarkEnd w:id="683"/>
      <w:bookmarkEnd w:id="671"/>
      <w:bookmarkEnd w:id="672"/>
      <w:bookmarkEnd w:id="673"/>
      <w:bookmarkEnd w:id="674"/>
      <w:bookmarkEnd w:id="675"/>
      <w:bookmarkEnd w:id="676"/>
      <w:bookmarkEnd w:id="677"/>
      <w:bookmarkEnd w:id="678"/>
      <w:bookmarkEnd w:id="679"/>
      <w:bookmarkEnd w:id="680"/>
      <w:bookmarkEnd w:id="681"/>
      <w:bookmarkEnd w:id="682"/>
    </w:p>
    <w:p>
      <w:pPr>
        <w:numPr>
          <w:ilvl w:val="0"/>
          <w:numId w:val="0"/>
        </w:numPr>
        <w:spacing w:line="400" w:lineRule="exact"/>
        <w:ind w:firstLine="420" w:firstLineChars="200"/>
      </w:pPr>
      <w:r>
        <w:rPr>
          <w:rFonts w:hint="eastAsia"/>
        </w:rPr>
        <w:t>投标人应完整地按招标文件第五章“投标文件格式”提供的投标文件格式制作投标文件。投标文件内容见</w:t>
      </w:r>
      <w:r>
        <w:rPr>
          <w:rFonts w:eastAsia="黑体" w:hint="eastAsia"/>
          <w:b/>
        </w:rPr>
        <w:t>投标资料表</w:t>
      </w:r>
      <w:r>
        <w:rPr>
          <w:rFonts w:eastAsia="宋体" w:hint="eastAsia"/>
        </w:rPr>
        <w:t>。</w:t>
      </w:r>
    </w:p>
    <w:p>
      <w:pPr>
        <w:pStyle w:val="Heading3"/>
        <w:rPr>
          <w:rFonts w:ascii="宋体" w:hAnsi="宋体"/>
          <w:sz w:val="21"/>
          <w:szCs w:val="21"/>
        </w:rPr>
      </w:pPr>
      <w:bookmarkStart w:id="684" w:name="_Toc6666"/>
      <w:bookmarkStart w:id="685" w:name="_Toc144974516"/>
      <w:bookmarkStart w:id="686" w:name="_Toc246996936"/>
      <w:bookmarkStart w:id="687" w:name="_Toc2571"/>
      <w:bookmarkStart w:id="688" w:name="_Toc152042324"/>
      <w:bookmarkStart w:id="689" w:name="_Toc31791"/>
      <w:bookmarkStart w:id="690" w:name="_Toc179632566"/>
      <w:bookmarkStart w:id="691" w:name="_Toc246996193"/>
      <w:bookmarkStart w:id="692" w:name="_Toc11300"/>
      <w:bookmarkStart w:id="693" w:name="_Toc296602438"/>
      <w:bookmarkStart w:id="694" w:name="_Toc247085707"/>
      <w:bookmarkStart w:id="695" w:name="_Toc152045548"/>
      <w:bookmarkStart w:id="696" w:name="_Toc256000104"/>
      <w:r>
        <w:rPr>
          <w:rFonts w:hint="eastAsia"/>
        </w:rPr>
        <w:t>3.2 投标报价</w:t>
      </w:r>
      <w:bookmarkEnd w:id="696"/>
      <w:bookmarkEnd w:id="684"/>
      <w:bookmarkEnd w:id="685"/>
      <w:bookmarkEnd w:id="686"/>
      <w:bookmarkEnd w:id="687"/>
      <w:bookmarkEnd w:id="688"/>
      <w:bookmarkEnd w:id="689"/>
      <w:bookmarkEnd w:id="690"/>
      <w:bookmarkEnd w:id="691"/>
      <w:bookmarkEnd w:id="692"/>
      <w:bookmarkEnd w:id="693"/>
      <w:bookmarkEnd w:id="694"/>
      <w:bookmarkEnd w:id="695"/>
    </w:p>
    <w:p>
      <w:pPr>
        <w:numPr>
          <w:ilvl w:val="0"/>
          <w:numId w:val="0"/>
        </w:numPr>
        <w:spacing w:line="400" w:lineRule="exact"/>
        <w:ind w:firstLine="420" w:firstLineChars="200"/>
      </w:pPr>
      <w:r>
        <w:rPr>
          <w:rFonts w:hint="eastAsia"/>
        </w:rPr>
        <w:t>3.2.1除非</w:t>
      </w:r>
      <w:r>
        <w:rPr>
          <w:rFonts w:eastAsia="黑体" w:hint="eastAsia"/>
          <w:b/>
        </w:rPr>
        <w:t>投标资料表</w:t>
      </w:r>
      <w:r>
        <w:rPr>
          <w:rFonts w:eastAsia="宋体" w:hint="eastAsia"/>
        </w:rPr>
        <w:t>另有规定，</w:t>
      </w:r>
      <w:r>
        <w:rPr>
          <w:rFonts w:hint="eastAsia"/>
        </w:rPr>
        <w:t>所有投标均以人民币报价，以其它货币报价的投标无效。投标人的投标报价应符合《中华人民共和国价格法》的有关规定。</w:t>
      </w:r>
    </w:p>
    <w:p>
      <w:pPr>
        <w:numPr>
          <w:ilvl w:val="0"/>
          <w:numId w:val="0"/>
        </w:numPr>
        <w:spacing w:line="400" w:lineRule="exact"/>
        <w:ind w:firstLine="420" w:firstLineChars="200"/>
      </w:pPr>
      <w:r>
        <w:rPr>
          <w:rFonts w:hint="eastAsia"/>
        </w:rPr>
        <w:t>3.2.2投标人应在投标分项报价表上标明投标货物或相关服务的单价（如适用）和总价。投标总价中不得包含招标文件要求以外的内容，否则，在评标时不予核减。</w:t>
      </w:r>
    </w:p>
    <w:p>
      <w:pPr>
        <w:numPr>
          <w:ilvl w:val="0"/>
          <w:numId w:val="0"/>
        </w:numPr>
        <w:spacing w:line="400" w:lineRule="exact"/>
        <w:ind w:firstLine="420" w:firstLineChars="200"/>
      </w:pPr>
      <w:r>
        <w:rPr>
          <w:rFonts w:hint="eastAsia"/>
        </w:rPr>
        <w:t>3.2.3投标分项报价上的价格应按下列方式填写：</w:t>
      </w:r>
    </w:p>
    <w:p>
      <w:pPr>
        <w:numPr>
          <w:ilvl w:val="0"/>
          <w:numId w:val="0"/>
        </w:numPr>
        <w:spacing w:line="400" w:lineRule="exact"/>
        <w:ind w:firstLine="420" w:firstLineChars="200"/>
      </w:pPr>
      <w:r>
        <w:rPr>
          <w:rFonts w:hint="eastAsia"/>
        </w:rPr>
        <w:t>（1）投标货物包括标准附件、备品备件、专用工具等的出厂价（包括已在中国国内的进口货物完税后的仓库交货价、展室交货价或货架交货价），投标货物安装、调试、检验、技术服务和培训等费用；</w:t>
      </w:r>
    </w:p>
    <w:p>
      <w:pPr>
        <w:numPr>
          <w:ilvl w:val="0"/>
          <w:numId w:val="0"/>
        </w:numPr>
        <w:spacing w:line="400" w:lineRule="exact"/>
        <w:ind w:firstLine="420" w:firstLineChars="200"/>
      </w:pPr>
      <w:r>
        <w:rPr>
          <w:rFonts w:hint="eastAsia"/>
        </w:rPr>
        <w:t>（2）货物运至最终目的地并安装调试完毕的运输费和保险费用和伴随货物交运的有关费用；</w:t>
      </w:r>
    </w:p>
    <w:p>
      <w:pPr>
        <w:numPr>
          <w:ilvl w:val="0"/>
          <w:numId w:val="0"/>
        </w:numPr>
        <w:spacing w:line="400" w:lineRule="exact"/>
        <w:ind w:firstLine="420" w:firstLineChars="200"/>
      </w:pPr>
      <w:r>
        <w:rPr>
          <w:rFonts w:hint="eastAsia"/>
        </w:rPr>
        <w:t>（3）报</w:t>
      </w:r>
      <w:r>
        <w:rPr>
          <w:rFonts w:eastAsia="黑体" w:hint="eastAsia"/>
        </w:rPr>
        <w:t>投标资料表</w:t>
      </w:r>
      <w:r>
        <w:rPr>
          <w:rFonts w:hint="eastAsia"/>
        </w:rPr>
        <w:t>中列出的其他伴随服务的费用（如果有的话）。</w:t>
      </w:r>
    </w:p>
    <w:p>
      <w:pPr>
        <w:numPr>
          <w:ilvl w:val="0"/>
          <w:numId w:val="0"/>
        </w:numPr>
        <w:spacing w:line="400" w:lineRule="exact"/>
        <w:ind w:firstLine="420" w:firstLineChars="200"/>
      </w:pPr>
      <w:r>
        <w:rPr>
          <w:rFonts w:hint="eastAsia"/>
        </w:rPr>
        <w:t xml:space="preserve">3.2.4投标人根据本须知第3.2.3条的规定将投标价分成几部分，只是为了方便评标委员会对投标文件进行比较，并不限制采购人以上述任何条件订立合同的权力。 </w:t>
      </w:r>
    </w:p>
    <w:p>
      <w:pPr>
        <w:numPr>
          <w:ilvl w:val="0"/>
          <w:numId w:val="0"/>
        </w:numPr>
        <w:spacing w:line="400" w:lineRule="exact"/>
        <w:ind w:firstLine="420" w:firstLineChars="200"/>
      </w:pPr>
      <w:r>
        <w:rPr>
          <w:rFonts w:hint="eastAsia"/>
        </w:rPr>
        <w:t>3.2.5采购人不接受选择性报价及可变动的报价。除</w:t>
      </w:r>
      <w:r>
        <w:rPr>
          <w:rFonts w:eastAsia="黑体" w:hint="eastAsia"/>
        </w:rPr>
        <w:t>投标资料表</w:t>
      </w:r>
      <w:r>
        <w:rPr>
          <w:rFonts w:hint="eastAsia"/>
        </w:rPr>
        <w:t>允许提交备选方案外，投标人对每种货物及服务只允许有一个报价，投标人所报的投标价在合同执行过程中是固定不变的，不得以任何理由予以变更。包含选择性报价及可变动的报价的投标无效。</w:t>
      </w:r>
    </w:p>
    <w:p>
      <w:pPr>
        <w:numPr>
          <w:ilvl w:val="0"/>
          <w:numId w:val="0"/>
        </w:numPr>
        <w:spacing w:line="400" w:lineRule="exact"/>
        <w:ind w:firstLine="420" w:firstLineChars="200"/>
      </w:pPr>
      <w:r>
        <w:rPr>
          <w:rFonts w:hint="eastAsia"/>
        </w:rPr>
        <w:t>3.2.6采购人不接受投标人的赠品，投标人提供的货物及服务不得报价为“零”，否则投标无效。</w:t>
      </w:r>
    </w:p>
    <w:p>
      <w:pPr>
        <w:spacing w:line="360" w:lineRule="auto"/>
        <w:ind w:firstLine="420" w:firstLineChars="200"/>
        <w:rPr>
          <w:rFonts w:ascii="仿宋" w:eastAsia="仿宋" w:hAnsi="仿宋" w:cs="仿宋"/>
          <w:sz w:val="24"/>
        </w:rPr>
      </w:pPr>
      <w:r>
        <w:rPr>
          <w:rFonts w:hint="eastAsia"/>
        </w:rPr>
        <w:t>3.2.7采购人设有最高投标限价的，投标人的投标报价不得超过最高投标限价，超过最高限价的投标无效。</w:t>
      </w:r>
    </w:p>
    <w:p>
      <w:pPr>
        <w:pStyle w:val="Heading3"/>
        <w:rPr>
          <w:rFonts w:ascii="Calibri" w:eastAsia="宋体"/>
        </w:rPr>
      </w:pPr>
      <w:bookmarkStart w:id="697" w:name="_Toc7363"/>
      <w:bookmarkStart w:id="698" w:name="_Toc17098"/>
      <w:bookmarkStart w:id="699" w:name="_Toc14846"/>
      <w:bookmarkStart w:id="700" w:name="_Toc15545"/>
      <w:bookmarkStart w:id="701" w:name="_Toc256000105"/>
      <w:r>
        <w:rPr>
          <w:rFonts w:hint="eastAsia"/>
        </w:rPr>
        <w:t>3.3</w:t>
      </w:r>
      <w:r>
        <w:rPr>
          <w:rFonts w:ascii="Calibri" w:eastAsia="宋体" w:hint="eastAsia"/>
        </w:rPr>
        <w:t>证明投标人合格和资格的文件</w:t>
      </w:r>
      <w:bookmarkEnd w:id="701"/>
      <w:bookmarkEnd w:id="697"/>
      <w:bookmarkEnd w:id="698"/>
      <w:bookmarkEnd w:id="699"/>
      <w:bookmarkEnd w:id="700"/>
    </w:p>
    <w:p>
      <w:pPr>
        <w:spacing w:line="400" w:lineRule="exact"/>
        <w:ind w:firstLine="420" w:firstLineChars="200"/>
      </w:pPr>
      <w:r>
        <w:rPr>
          <w:rFonts w:hint="eastAsia"/>
        </w:rPr>
        <w:t>投标人应提交证明文件，证明投标人资格符合1.3条“合格的供应商”的各项要求。</w:t>
      </w:r>
    </w:p>
    <w:p>
      <w:pPr>
        <w:pStyle w:val="Heading3"/>
        <w:rPr>
          <w:rFonts w:ascii="Calibri" w:eastAsia="宋体"/>
        </w:rPr>
      </w:pPr>
      <w:bookmarkStart w:id="702" w:name="_Toc32091"/>
      <w:bookmarkStart w:id="703" w:name="_Toc2803"/>
      <w:bookmarkStart w:id="704" w:name="_Toc16256"/>
      <w:bookmarkStart w:id="705" w:name="_Toc12655"/>
      <w:bookmarkStart w:id="706" w:name="_Toc256000106"/>
      <w:r>
        <w:rPr>
          <w:rFonts w:hint="eastAsia"/>
        </w:rPr>
        <w:t>3.4</w:t>
      </w:r>
      <w:r>
        <w:rPr>
          <w:rFonts w:ascii="Calibri" w:eastAsia="宋体" w:hint="eastAsia"/>
        </w:rPr>
        <w:t>证明货物</w:t>
      </w:r>
      <w:r>
        <w:rPr>
          <w:rFonts w:hint="eastAsia"/>
        </w:rPr>
        <w:t>和服务的</w:t>
      </w:r>
      <w:r>
        <w:rPr>
          <w:rFonts w:ascii="Calibri" w:eastAsia="宋体" w:hint="eastAsia"/>
        </w:rPr>
        <w:t>符合</w:t>
      </w:r>
      <w:r>
        <w:rPr>
          <w:rFonts w:hint="eastAsia"/>
        </w:rPr>
        <w:t>性</w:t>
      </w:r>
      <w:bookmarkEnd w:id="706"/>
      <w:bookmarkEnd w:id="702"/>
      <w:bookmarkEnd w:id="703"/>
      <w:bookmarkEnd w:id="704"/>
      <w:bookmarkEnd w:id="705"/>
    </w:p>
    <w:p>
      <w:pPr>
        <w:numPr>
          <w:ilvl w:val="0"/>
          <w:numId w:val="0"/>
        </w:numPr>
        <w:spacing w:line="400" w:lineRule="exact"/>
        <w:ind w:firstLine="420" w:firstLineChars="200"/>
      </w:pPr>
      <w:r>
        <w:rPr>
          <w:rFonts w:hint="eastAsia"/>
        </w:rPr>
        <w:t>3.4.1投标人应提交证明文件，证明其拟供的合同项下的货物和服务的合格性符合招标文件规定。该证明文件作为投标文件的一部分。</w:t>
      </w:r>
    </w:p>
    <w:p>
      <w:pPr>
        <w:numPr>
          <w:ilvl w:val="0"/>
          <w:numId w:val="0"/>
        </w:numPr>
        <w:spacing w:line="400" w:lineRule="exact"/>
        <w:ind w:firstLine="420" w:firstLineChars="200"/>
      </w:pPr>
      <w:r>
        <w:rPr>
          <w:rFonts w:hint="eastAsia"/>
        </w:rPr>
        <w:t>3.4.2上述所述的证明文件，可以是文字资料、图纸和数据，它包括：</w:t>
      </w:r>
    </w:p>
    <w:p>
      <w:pPr>
        <w:numPr>
          <w:ilvl w:val="0"/>
          <w:numId w:val="0"/>
        </w:numPr>
        <w:spacing w:line="400" w:lineRule="exact"/>
        <w:ind w:firstLine="420" w:firstLineChars="200"/>
      </w:pPr>
      <w:r>
        <w:rPr>
          <w:rFonts w:hint="eastAsia"/>
        </w:rPr>
        <w:t>（1）货物主要技术指标和性能的详细说明；</w:t>
      </w:r>
    </w:p>
    <w:p>
      <w:pPr>
        <w:numPr>
          <w:ilvl w:val="0"/>
          <w:numId w:val="0"/>
        </w:numPr>
        <w:spacing w:line="400" w:lineRule="exact"/>
        <w:ind w:firstLine="420" w:firstLineChars="200"/>
      </w:pPr>
      <w:r>
        <w:rPr>
          <w:rFonts w:hint="eastAsia"/>
        </w:rPr>
        <w:t>（2）货物从采购人验收后开始使用至招标文件规定的保质期内正常、连续地使用所必须的备件和专用工具清单，包括备件和专用工具的货源及现行价格；</w:t>
      </w:r>
    </w:p>
    <w:p>
      <w:pPr>
        <w:numPr>
          <w:ilvl w:val="0"/>
          <w:numId w:val="0"/>
        </w:numPr>
        <w:spacing w:line="400" w:lineRule="exact"/>
        <w:ind w:firstLine="420" w:firstLineChars="200"/>
      </w:pPr>
      <w:r>
        <w:rPr>
          <w:rFonts w:hint="eastAsia"/>
        </w:rPr>
        <w:t>（3）对照招标文件技术规格，逐条说明所提供货物和服务已对招标文件的技术规格做出了实质性的响应，并申明与技术规格条文的偏差和例外。特别对有具体参数要求的指标，投标人应当提供所投设备的具体参数值。</w:t>
      </w:r>
    </w:p>
    <w:p>
      <w:pPr>
        <w:spacing w:line="400" w:lineRule="exact"/>
        <w:ind w:firstLine="420" w:firstLineChars="200"/>
      </w:pPr>
      <w:r>
        <w:rPr>
          <w:rFonts w:hint="eastAsia"/>
        </w:rPr>
        <w:t>3.4.3投标人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pPr>
        <w:pStyle w:val="Heading3"/>
      </w:pPr>
      <w:bookmarkStart w:id="707" w:name="_Toc23428"/>
      <w:bookmarkStart w:id="708" w:name="_Toc31859"/>
      <w:bookmarkStart w:id="709" w:name="_Toc13946"/>
      <w:bookmarkStart w:id="710" w:name="_Toc8054"/>
      <w:bookmarkStart w:id="711" w:name="_Toc256000107"/>
      <w:r>
        <w:rPr>
          <w:rFonts w:hint="eastAsia"/>
        </w:rPr>
        <w:t>3.5 投标有效期</w:t>
      </w:r>
      <w:bookmarkEnd w:id="711"/>
      <w:bookmarkEnd w:id="707"/>
      <w:bookmarkEnd w:id="708"/>
      <w:bookmarkEnd w:id="709"/>
      <w:bookmarkEnd w:id="710"/>
    </w:p>
    <w:p>
      <w:pPr>
        <w:spacing w:line="400" w:lineRule="exact"/>
        <w:ind w:firstLine="420" w:firstLineChars="200"/>
      </w:pPr>
      <w:r>
        <w:rPr>
          <w:rFonts w:hint="eastAsia"/>
        </w:rPr>
        <w:t>3.5.1 除</w:t>
      </w:r>
      <w:r>
        <w:rPr>
          <w:rFonts w:eastAsia="黑体" w:hint="eastAsia"/>
          <w:b/>
        </w:rPr>
        <w:t>投标资料表</w:t>
      </w:r>
      <w:r>
        <w:rPr>
          <w:rFonts w:hint="eastAsia"/>
        </w:rPr>
        <w:t>另有规定外，投标有效期为120天。投标有效期自开标日起计算，并在投标有效期内保持有效。</w:t>
      </w:r>
    </w:p>
    <w:p>
      <w:pPr>
        <w:spacing w:line="400" w:lineRule="exact"/>
        <w:ind w:firstLine="420" w:firstLineChars="200"/>
      </w:pPr>
      <w:r>
        <w:rPr>
          <w:rFonts w:hint="eastAsia"/>
        </w:rPr>
        <w:t>3.5.2投标有效期不足的投标将被视为非实质性响应，投标无效。</w:t>
      </w:r>
    </w:p>
    <w:p>
      <w:pPr>
        <w:spacing w:line="400" w:lineRule="exact"/>
        <w:ind w:firstLine="420" w:firstLineChars="200"/>
      </w:pPr>
      <w:r>
        <w:rPr>
          <w:rFonts w:hint="eastAsia"/>
        </w:rPr>
        <w:t>3.5.3在投标有效期内，投标人撤销或修改其投标文件的，应承担招标文件和法律规定的责任。</w:t>
      </w:r>
    </w:p>
    <w:p>
      <w:pPr>
        <w:spacing w:line="400" w:lineRule="exact"/>
        <w:ind w:firstLine="420" w:firstLineChars="200"/>
      </w:pPr>
      <w:r>
        <w:rPr>
          <w:rFonts w:hint="eastAsia"/>
        </w:rPr>
        <w:t>3.5.4出现特殊情况需要延长投标有效期的，采购代理机构将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spacing w:line="400" w:lineRule="exact"/>
      </w:pPr>
    </w:p>
    <w:p>
      <w:pPr>
        <w:pStyle w:val="Heading3"/>
      </w:pPr>
      <w:bookmarkStart w:id="712" w:name="_Toc29136"/>
      <w:bookmarkStart w:id="713" w:name="_Toc6183"/>
      <w:bookmarkStart w:id="714" w:name="_Toc5277"/>
      <w:bookmarkStart w:id="715" w:name="_Toc31452"/>
      <w:bookmarkStart w:id="716" w:name="_Toc246996937"/>
      <w:bookmarkStart w:id="717" w:name="_Toc296602439"/>
      <w:bookmarkStart w:id="718" w:name="_Toc247085708"/>
      <w:bookmarkStart w:id="719" w:name="_Toc246996194"/>
      <w:bookmarkStart w:id="720" w:name="_Toc152042325"/>
      <w:bookmarkStart w:id="721" w:name="_Toc144974517"/>
      <w:bookmarkStart w:id="722" w:name="_Toc152045549"/>
      <w:bookmarkStart w:id="723" w:name="_Toc179632567"/>
      <w:bookmarkStart w:id="724" w:name="_Toc256000108"/>
      <w:r>
        <w:rPr>
          <w:rFonts w:hint="eastAsia"/>
        </w:rPr>
        <w:t>3.6 投标保证金</w:t>
      </w:r>
      <w:bookmarkEnd w:id="724"/>
      <w:bookmarkEnd w:id="712"/>
      <w:bookmarkEnd w:id="713"/>
      <w:bookmarkEnd w:id="714"/>
      <w:bookmarkEnd w:id="715"/>
    </w:p>
    <w:p>
      <w:pPr>
        <w:numPr>
          <w:ilvl w:val="0"/>
          <w:numId w:val="0"/>
        </w:numPr>
        <w:spacing w:line="400" w:lineRule="exact"/>
        <w:ind w:firstLine="420" w:firstLineChars="200"/>
      </w:pPr>
      <w:r>
        <w:rPr>
          <w:rFonts w:hint="eastAsia"/>
        </w:rPr>
        <w:t>3.6.1根据《深圳市财政局关于明确政府采购保证金管理工作的通知》（深财购〔2019〕42号）的规定，为切实减轻企业负担，降低制度性交易成本，进一步优化我市营商环境，自</w:t>
      </w:r>
      <w:r>
        <w:t xml:space="preserve">2019 </w:t>
      </w:r>
      <w:r>
        <w:rPr>
          <w:rFonts w:hint="eastAsia"/>
        </w:rPr>
        <w:t>年</w:t>
      </w:r>
      <w:r>
        <w:t xml:space="preserve">8 </w:t>
      </w:r>
      <w:r>
        <w:rPr>
          <w:rFonts w:hint="eastAsia"/>
        </w:rPr>
        <w:t>月</w:t>
      </w:r>
      <w:r>
        <w:t xml:space="preserve">15 </w:t>
      </w:r>
      <w:r>
        <w:rPr>
          <w:rFonts w:hint="eastAsia"/>
        </w:rPr>
        <w:t>日（以下简称起始日）起，全市政府集中采购活动停止收取投标保证金。</w:t>
      </w:r>
    </w:p>
    <w:p>
      <w:pPr>
        <w:numPr>
          <w:ilvl w:val="0"/>
          <w:numId w:val="0"/>
        </w:numPr>
        <w:spacing w:line="400" w:lineRule="exact"/>
        <w:ind w:firstLine="420" w:firstLineChars="200"/>
      </w:pPr>
      <w:r>
        <w:rPr>
          <w:rFonts w:hint="eastAsia"/>
        </w:rPr>
        <w:t>3.6.2</w:t>
      </w:r>
      <w:r>
        <w:rPr>
          <w:rFonts w:ascii="黑体" w:eastAsia="黑体" w:hAnsi="黑体" w:hint="eastAsia"/>
          <w:b/>
        </w:rPr>
        <w:t>投标资料表</w:t>
      </w:r>
      <w:r>
        <w:rPr>
          <w:rFonts w:hint="eastAsia"/>
        </w:rPr>
        <w:t>规定投标人缴纳投标保证金的，投标人应按</w:t>
      </w:r>
      <w:r>
        <w:rPr>
          <w:rFonts w:eastAsia="黑体" w:hint="eastAsia"/>
          <w:b/>
        </w:rPr>
        <w:t>投标资料表</w:t>
      </w:r>
      <w:r>
        <w:rPr>
          <w:rFonts w:hint="eastAsia"/>
        </w:rPr>
        <w:t>中规定数额、时间及方式提交投标保证金，并提交投标保证金证明文件，作为其投标文件的一部分。</w:t>
      </w:r>
    </w:p>
    <w:p>
      <w:pPr>
        <w:numPr>
          <w:ilvl w:val="0"/>
          <w:numId w:val="0"/>
        </w:numPr>
        <w:spacing w:line="400" w:lineRule="exact"/>
        <w:ind w:firstLine="420" w:firstLineChars="200"/>
      </w:pPr>
      <w:r>
        <w:rPr>
          <w:rFonts w:hint="eastAsia"/>
        </w:rPr>
        <w:t>3.6.3若供应商在政府采购活动中出现《深圳经济特区政府采购条例实施细则》第八十四条规定情形的，采购人或招标机构可将有关情况报同级财政部门，由财政部门根据实际情况记入供应商诚信档案，予以通报。市、区财政部门将加大对违法违规供应商的惩戒力度，实施联合惩戒。</w:t>
      </w:r>
    </w:p>
    <w:p>
      <w:pPr>
        <w:spacing w:line="400" w:lineRule="exact"/>
      </w:pPr>
    </w:p>
    <w:p>
      <w:pPr>
        <w:pStyle w:val="Heading3"/>
      </w:pPr>
      <w:bookmarkEnd w:id="716"/>
      <w:bookmarkEnd w:id="717"/>
      <w:bookmarkEnd w:id="718"/>
      <w:bookmarkEnd w:id="719"/>
      <w:bookmarkEnd w:id="720"/>
      <w:bookmarkEnd w:id="721"/>
      <w:bookmarkEnd w:id="722"/>
      <w:bookmarkEnd w:id="723"/>
      <w:bookmarkStart w:id="725" w:name="_Toc7462"/>
      <w:bookmarkStart w:id="726" w:name="_Toc21469"/>
      <w:bookmarkStart w:id="727" w:name="_Toc3887"/>
      <w:bookmarkStart w:id="728" w:name="_Toc4947"/>
      <w:bookmarkStart w:id="729" w:name="_Toc296602442"/>
      <w:bookmarkStart w:id="730" w:name="_Toc152045553"/>
      <w:bookmarkStart w:id="731" w:name="_Toc179632571"/>
      <w:bookmarkStart w:id="732" w:name="_Toc144974521"/>
      <w:bookmarkStart w:id="733" w:name="_Toc247085711"/>
      <w:bookmarkStart w:id="734" w:name="_Toc152042329"/>
      <w:bookmarkStart w:id="735" w:name="_Toc246996197"/>
      <w:bookmarkStart w:id="736" w:name="_Toc246996940"/>
      <w:bookmarkStart w:id="737" w:name="_Toc256000109"/>
      <w:r>
        <w:rPr>
          <w:rFonts w:hint="eastAsia"/>
        </w:rPr>
        <w:t>3.7投标文件的编制</w:t>
      </w:r>
      <w:bookmarkEnd w:id="737"/>
      <w:bookmarkEnd w:id="725"/>
      <w:bookmarkEnd w:id="726"/>
      <w:bookmarkEnd w:id="727"/>
      <w:bookmarkEnd w:id="728"/>
      <w:bookmarkEnd w:id="729"/>
    </w:p>
    <w:p>
      <w:pPr>
        <w:spacing w:line="400" w:lineRule="exact"/>
        <w:ind w:firstLine="420" w:firstLineChars="200"/>
      </w:pPr>
      <w:r>
        <w:rPr>
          <w:rFonts w:hint="eastAsia"/>
        </w:rPr>
        <w:t>3.7.1投标文件应按第五章“投标文件格式”进行编写，并按</w:t>
      </w:r>
      <w:r>
        <w:rPr>
          <w:rFonts w:hint="eastAsia"/>
          <w:b/>
        </w:rPr>
        <w:t>本章第3.1条规定的投标文件内容</w:t>
      </w:r>
      <w:r>
        <w:rPr>
          <w:rFonts w:hint="eastAsia"/>
        </w:rPr>
        <w:t>完整地填写和提供资料，对招标文件要求的内容作出响应，并保证所提供的全部资料的真实性。如有必要，可以增加附页或按格式相应扩展，作为投标文件的组成部分。</w:t>
      </w:r>
    </w:p>
    <w:p>
      <w:pPr>
        <w:numPr>
          <w:ilvl w:val="0"/>
          <w:numId w:val="0"/>
        </w:numPr>
        <w:spacing w:line="400" w:lineRule="exact"/>
        <w:ind w:firstLine="420" w:firstLineChars="200"/>
      </w:pPr>
      <w:r>
        <w:rPr>
          <w:rFonts w:hint="eastAsia"/>
        </w:rPr>
        <w:t>3.7.2 投标文件应当对招标文件的实质性内容作出响应。投标文件在满足招标文件实质性要求的基础上，可以提出比招标文件要求更有利于采购人的承诺。</w:t>
      </w:r>
    </w:p>
    <w:p>
      <w:pPr>
        <w:spacing w:line="400" w:lineRule="exact"/>
        <w:ind w:firstLine="420" w:firstLineChars="200"/>
      </w:pPr>
      <w:r>
        <w:rPr>
          <w:rFonts w:hint="eastAsia"/>
        </w:rPr>
        <w:t>3.7.3</w:t>
      </w:r>
      <w:r>
        <w:t>投标人应准备所投项目的电子投标文件一份。</w:t>
      </w:r>
      <w:r>
        <w:rPr>
          <w:rFonts w:hint="eastAsia"/>
        </w:rPr>
        <w:t>此电子投标文件须由投标人根据政府集中采购机构提供的后缀名为.szczf的电子招标文件，下载并使用相应的深圳智慧采购平台投标文件制作专用软件打开招标文件（.szczf格式）【下载地址：http://zfcg.szggzy.com/TPBidder/DownLoad/深圳市智慧采购平台投标文件制作专用软件.zip】</w:t>
      </w:r>
      <w:r>
        <w:t>。</w:t>
      </w:r>
    </w:p>
    <w:p>
      <w:pPr>
        <w:spacing w:line="400" w:lineRule="exact"/>
        <w:ind w:firstLine="420" w:firstLineChars="200"/>
      </w:pPr>
      <w:r>
        <w:rPr>
          <w:rFonts w:hint="eastAsia"/>
        </w:rPr>
        <w:t>3.7.4</w:t>
      </w:r>
      <w:r>
        <w:t>投标人在利用《投标书编制软件》编制投标书时须注意：</w:t>
      </w:r>
    </w:p>
    <w:p>
      <w:pPr>
        <w:spacing w:line="400" w:lineRule="exact"/>
        <w:ind w:firstLine="420" w:firstLineChars="200"/>
      </w:pPr>
      <w:r>
        <w:rPr>
          <w:rFonts w:hint="eastAsia"/>
        </w:rPr>
        <w:t>3.7.4.1</w:t>
      </w:r>
      <w:r>
        <w:t>导入《投标书编制软件》的招标文件项目编号、包号应与以此制作的投标文件项目编号、包号一致。例如，不能将甲项目A包的招标书导入《投标书编制软件》，制作乙项目B包的投标书。</w:t>
      </w:r>
    </w:p>
    <w:p>
      <w:pPr>
        <w:spacing w:line="400" w:lineRule="exact"/>
        <w:ind w:firstLine="420" w:firstLineChars="200"/>
      </w:pPr>
      <w:r>
        <w:rPr>
          <w:rFonts w:hint="eastAsia"/>
        </w:rPr>
        <w:t>3.7.4.2</w:t>
      </w:r>
      <w:r>
        <w:t>不能用非本公司的电子密钥加密本公司的投标文件，或者用其它公司的登录用户上传本公司的投标文件。</w:t>
      </w:r>
    </w:p>
    <w:p>
      <w:pPr>
        <w:spacing w:line="400" w:lineRule="exact"/>
        <w:ind w:firstLine="420" w:firstLineChars="200"/>
      </w:pPr>
      <w:r>
        <w:rPr>
          <w:rFonts w:hint="eastAsia"/>
        </w:rPr>
        <w:t>3.7.4.3</w:t>
      </w:r>
      <w:r>
        <w:t>要求用《投标书编制软件》编制投标书的包，不能用其它方式编制投标书。编制投标文件时，电脑须连通互联网。</w:t>
      </w:r>
    </w:p>
    <w:p>
      <w:pPr>
        <w:spacing w:line="400" w:lineRule="exact"/>
        <w:ind w:firstLine="420" w:firstLineChars="200"/>
      </w:pPr>
      <w:r>
        <w:rPr>
          <w:rFonts w:hint="eastAsia"/>
        </w:rPr>
        <w:t>3.7.4.4</w:t>
      </w:r>
      <w:r>
        <w:t>投标文件不能带</w:t>
      </w:r>
      <w:r>
        <w:rPr>
          <w:rFonts w:hint="eastAsia"/>
        </w:rPr>
        <w:t>有</w:t>
      </w:r>
      <w:r>
        <w:t>病毒，</w:t>
      </w:r>
      <w:r>
        <w:rPr>
          <w:rFonts w:hint="eastAsia"/>
        </w:rPr>
        <w:t>否则其投标无效</w:t>
      </w:r>
      <w:r>
        <w:t>。</w:t>
      </w:r>
    </w:p>
    <w:p>
      <w:pPr>
        <w:spacing w:line="400" w:lineRule="exact"/>
        <w:ind w:firstLine="420" w:firstLineChars="200"/>
      </w:pPr>
      <w:r>
        <w:rPr>
          <w:rFonts w:hint="eastAsia"/>
        </w:rPr>
        <w:t>3.7.4.5</w:t>
      </w:r>
      <w:r>
        <w:t>完整填写“投标关键信息”，如下图所示：</w:t>
      </w:r>
    </w:p>
    <w:p>
      <w:pPr>
        <w:jc w:val="center"/>
        <w:rPr>
          <w:rFonts w:eastAsia="宋体"/>
          <w:sz w:val="24"/>
        </w:rPr>
      </w:pPr>
      <w:r>
        <w:rPr>
          <w:szCs w:val="21"/>
        </w:rPr>
        <w:drawing>
          <wp:inline distT="0" distB="0" distL="114300" distR="114300">
            <wp:extent cx="5274310" cy="2722245"/>
            <wp:effectExtent l="0" t="0" r="2540" b="1905"/>
            <wp:docPr id="4"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图形用户界面, 应用程序&#10;&#10;描述已自动生成"/>
                    <pic:cNvPicPr>
                      <a:picLocks noChangeAspect="1"/>
                    </pic:cNvPicPr>
                  </pic:nvPicPr>
                  <pic:blipFill>
                    <a:blip xmlns:r="http://schemas.openxmlformats.org/officeDocument/2006/relationships" r:embed="rId9"/>
                    <a:stretch>
                      <a:fillRect/>
                    </a:stretch>
                  </pic:blipFill>
                  <pic:spPr>
                    <a:xfrm>
                      <a:off x="0" y="0"/>
                      <a:ext cx="5274310" cy="2722245"/>
                    </a:xfrm>
                    <a:prstGeom prst="rect">
                      <a:avLst/>
                    </a:prstGeom>
                    <a:noFill/>
                    <a:ln>
                      <a:noFill/>
                    </a:ln>
                  </pic:spPr>
                </pic:pic>
              </a:graphicData>
            </a:graphic>
          </wp:inline>
        </w:drawing>
      </w:r>
    </w:p>
    <w:p>
      <w:pPr>
        <w:spacing w:line="400" w:lineRule="exact"/>
        <w:ind w:firstLine="412" w:firstLineChars="196"/>
        <w:rPr>
          <w:b/>
          <w:color w:val="FF0000"/>
        </w:rPr>
      </w:pPr>
      <w:r>
        <w:rPr>
          <w:rFonts w:hint="eastAsia"/>
          <w:b/>
          <w:color w:val="FF0000"/>
        </w:rPr>
        <w:t>备注：上述“开标一览表”中的“投标总价”将作为价格分计算依据；其它信息仅是对投标文件相关内容的概括性表述，不作为评审依据。如果在投标文件的其它地方有与“投标关键信息”的“开标一览表”内容相冲突的，以“投标关键信息” 的“开标一览表”为准。</w:t>
      </w:r>
    </w:p>
    <w:p>
      <w:pPr>
        <w:spacing w:line="400" w:lineRule="exact"/>
        <w:ind w:firstLine="412" w:firstLineChars="196"/>
      </w:pPr>
      <w:r>
        <w:rPr>
          <w:rFonts w:hint="eastAsia"/>
        </w:rPr>
        <w:t>3.7.4</w:t>
      </w:r>
      <w:r>
        <w:t>.6</w:t>
      </w:r>
      <w:r>
        <w:rPr>
          <w:rFonts w:hAnsi="宋体"/>
        </w:rPr>
        <w:t>投标人在编辑投标文件时，</w:t>
      </w:r>
      <w:r>
        <w:rPr>
          <w:rFonts w:hAnsi="宋体"/>
          <w:b/>
        </w:rPr>
        <w:t>在投标文件目录中属于本节点内容的必须在本节点中填写，填写到其他节点或附件，</w:t>
      </w:r>
      <w:r>
        <w:rPr>
          <w:rFonts w:hAnsi="宋体"/>
        </w:rPr>
        <w:t>一切后果由供应商自行承担。</w:t>
      </w:r>
    </w:p>
    <w:p>
      <w:pPr>
        <w:spacing w:line="400" w:lineRule="exact"/>
        <w:ind w:firstLine="412" w:firstLineChars="196"/>
      </w:pPr>
      <w:r>
        <w:rPr>
          <w:rFonts w:hint="eastAsia"/>
        </w:rPr>
        <w:t>3.7.6除招标文件另有规定外</w:t>
      </w:r>
      <w:r>
        <w:rPr>
          <w:rFonts w:hAnsi="宋体"/>
        </w:rPr>
        <w:t>，投标文件无须盖章或签字。</w:t>
      </w:r>
    </w:p>
    <w:p>
      <w:pPr>
        <w:spacing w:line="400" w:lineRule="exact"/>
        <w:ind w:firstLine="420" w:firstLineChars="200"/>
        <w:rPr>
          <w:rFonts w:hAnsi="宋体"/>
        </w:rPr>
      </w:pPr>
      <w:r>
        <w:rPr>
          <w:rFonts w:hint="eastAsia"/>
        </w:rPr>
        <w:t>3.7.7除招标文件另有规定外</w:t>
      </w:r>
      <w:r>
        <w:rPr>
          <w:rFonts w:hAnsi="宋体"/>
        </w:rPr>
        <w:t>，资格证明文件提供扫描件。</w:t>
      </w:r>
    </w:p>
    <w:p>
      <w:pPr>
        <w:spacing w:line="400" w:lineRule="exact"/>
        <w:ind w:firstLine="420" w:firstLineChars="200"/>
        <w:rPr>
          <w:rFonts w:hAnsi="宋体"/>
          <w:b/>
          <w:color w:val="FF0000"/>
        </w:rPr>
      </w:pPr>
      <w:r>
        <w:rPr>
          <w:rFonts w:hAnsi="宋体" w:hint="eastAsia"/>
          <w:b/>
          <w:color w:val="FF0000"/>
        </w:rPr>
        <w:t>3.7.8特别提醒：</w:t>
      </w:r>
    </w:p>
    <w:p>
      <w:pPr>
        <w:spacing w:line="400" w:lineRule="exact"/>
        <w:ind w:firstLine="420" w:firstLineChars="200"/>
        <w:rPr>
          <w:rFonts w:eastAsia="宋体"/>
        </w:rPr>
      </w:pPr>
      <w:r>
        <w:rPr>
          <w:rFonts w:eastAsia="宋体" w:hint="eastAsia"/>
        </w:rPr>
        <w:t>3.7.8.1投标文件正文将对外公开，投标文件附件不公开。投标人在编辑投标文件时，在投标文件目录中属于本节点内容的必须在本节点中填写，填写到其他节点或附件的将可能导致投标无效，一切后果由供应商自行承担。</w:t>
      </w:r>
    </w:p>
    <w:p>
      <w:pPr>
        <w:spacing w:line="400" w:lineRule="exact"/>
        <w:ind w:firstLine="420" w:firstLineChars="200"/>
        <w:rPr>
          <w:rFonts w:eastAsia="宋体"/>
        </w:rPr>
      </w:pPr>
      <w:r>
        <w:rPr>
          <w:rFonts w:eastAsia="宋体" w:hint="eastAsia"/>
        </w:rPr>
        <w:t>3.7.8.2投标文件正文（信息公开部分）必须编制于“标书”，投标文件附件（非信息公开部分）必须编制于“附件”，如下图所示。</w:t>
      </w:r>
    </w:p>
    <w:p>
      <w:pPr>
        <w:jc w:val="center"/>
      </w:pPr>
      <w:r>
        <w:rPr>
          <w:rFonts w:eastAsia="仿宋_GB2312"/>
        </w:rPr>
        <w:drawing>
          <wp:inline distT="0" distB="0" distL="114300" distR="114300">
            <wp:extent cx="5274310" cy="4121785"/>
            <wp:effectExtent l="0" t="0" r="2540" b="12065"/>
            <wp:docPr id="5" name="图片 4"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图形用户界面, 应用程序&#10;&#10;描述已自动生成"/>
                    <pic:cNvPicPr>
                      <a:picLocks noChangeAspect="1"/>
                    </pic:cNvPicPr>
                  </pic:nvPicPr>
                  <pic:blipFill>
                    <a:blip xmlns:r="http://schemas.openxmlformats.org/officeDocument/2006/relationships" r:embed="rId10"/>
                    <a:stretch>
                      <a:fillRect/>
                    </a:stretch>
                  </pic:blipFill>
                  <pic:spPr>
                    <a:xfrm>
                      <a:off x="0" y="0"/>
                      <a:ext cx="5274310" cy="4121785"/>
                    </a:xfrm>
                    <a:prstGeom prst="rect">
                      <a:avLst/>
                    </a:prstGeom>
                    <a:noFill/>
                    <a:ln>
                      <a:noFill/>
                    </a:ln>
                  </pic:spPr>
                </pic:pic>
              </a:graphicData>
            </a:graphic>
          </wp:inline>
        </w:drawing>
      </w:r>
    </w:p>
    <w:p>
      <w:pPr>
        <w:spacing w:line="400" w:lineRule="exact"/>
        <w:ind w:firstLine="420" w:firstLineChars="200"/>
        <w:rPr>
          <w:rFonts w:eastAsia="宋体"/>
        </w:rPr>
      </w:pPr>
      <w:r>
        <w:rPr>
          <w:rFonts w:eastAsia="宋体" w:hint="eastAsia"/>
        </w:rPr>
        <w:t>3.7.8.3深圳市政府采购中心网站公布投标文件正文（信息公开部分）时为计算机截取信息自动公布，如投标人误将涉及个人隐私的信息放入投标文件正文，相关后果由投标人自负；如投标人将必须放于投标文件正文（信息公开部分）的内容放入投标文件附件（非信息公开部分）以回避信息公开，将作投标无效处理。</w:t>
      </w:r>
      <w:bookmarkEnd w:id="730"/>
      <w:bookmarkEnd w:id="731"/>
      <w:bookmarkEnd w:id="732"/>
      <w:bookmarkEnd w:id="733"/>
      <w:bookmarkEnd w:id="734"/>
      <w:bookmarkEnd w:id="735"/>
      <w:bookmarkEnd w:id="736"/>
      <w:bookmarkStart w:id="738" w:name="_Toc247085713"/>
      <w:bookmarkStart w:id="739" w:name="_Toc246996199"/>
      <w:bookmarkStart w:id="740" w:name="_Toc144974523"/>
      <w:bookmarkStart w:id="741" w:name="_Toc152045555"/>
      <w:bookmarkStart w:id="742" w:name="_Toc152042331"/>
      <w:bookmarkStart w:id="743" w:name="_Toc246996942"/>
      <w:bookmarkStart w:id="744" w:name="_Toc179632573"/>
    </w:p>
    <w:p>
      <w:pPr>
        <w:pStyle w:val="Heading2"/>
      </w:pPr>
      <w:bookmarkStart w:id="745" w:name="_Toc296602443"/>
      <w:bookmarkStart w:id="746" w:name="_Toc31901"/>
      <w:bookmarkStart w:id="747" w:name="_Toc5644"/>
      <w:bookmarkStart w:id="748" w:name="_Toc27625"/>
      <w:bookmarkStart w:id="749" w:name="_Toc25826"/>
      <w:bookmarkStart w:id="750" w:name="_Toc256000110"/>
      <w:r>
        <w:rPr>
          <w:rFonts w:hint="eastAsia"/>
        </w:rPr>
        <w:t>4. 投标</w:t>
      </w:r>
      <w:bookmarkEnd w:id="750"/>
      <w:bookmarkEnd w:id="738"/>
      <w:bookmarkEnd w:id="739"/>
      <w:bookmarkEnd w:id="740"/>
      <w:bookmarkEnd w:id="741"/>
      <w:bookmarkEnd w:id="742"/>
      <w:bookmarkEnd w:id="743"/>
      <w:bookmarkEnd w:id="744"/>
      <w:bookmarkEnd w:id="745"/>
      <w:bookmarkEnd w:id="746"/>
      <w:bookmarkEnd w:id="747"/>
      <w:bookmarkEnd w:id="748"/>
      <w:bookmarkEnd w:id="749"/>
    </w:p>
    <w:p>
      <w:pPr>
        <w:pStyle w:val="Heading3"/>
      </w:pPr>
      <w:bookmarkStart w:id="751" w:name="_Toc246996943"/>
      <w:bookmarkStart w:id="752" w:name="_Toc152045556"/>
      <w:bookmarkStart w:id="753" w:name="_Toc152042332"/>
      <w:bookmarkStart w:id="754" w:name="_Toc246996200"/>
      <w:bookmarkStart w:id="755" w:name="_Toc144974524"/>
      <w:bookmarkStart w:id="756" w:name="_Toc179632574"/>
      <w:bookmarkStart w:id="757" w:name="_Toc247085714"/>
      <w:bookmarkStart w:id="758" w:name="_Toc296602444"/>
      <w:bookmarkStart w:id="759" w:name="_Toc25613"/>
      <w:bookmarkStart w:id="760" w:name="_Toc27105"/>
      <w:bookmarkStart w:id="761" w:name="_Toc4849"/>
      <w:bookmarkStart w:id="762" w:name="_Toc31608"/>
      <w:bookmarkStart w:id="763" w:name="_Toc256000111"/>
      <w:r>
        <w:rPr>
          <w:rFonts w:hint="eastAsia"/>
        </w:rPr>
        <w:t>4.1 投标文件的</w:t>
      </w:r>
      <w:bookmarkEnd w:id="751"/>
      <w:bookmarkEnd w:id="752"/>
      <w:bookmarkEnd w:id="753"/>
      <w:bookmarkEnd w:id="754"/>
      <w:bookmarkEnd w:id="755"/>
      <w:bookmarkEnd w:id="756"/>
      <w:bookmarkEnd w:id="757"/>
      <w:bookmarkEnd w:id="758"/>
      <w:bookmarkEnd w:id="759"/>
      <w:r>
        <w:rPr>
          <w:rFonts w:hint="eastAsia"/>
        </w:rPr>
        <w:t>加密</w:t>
      </w:r>
      <w:bookmarkEnd w:id="763"/>
      <w:bookmarkEnd w:id="760"/>
      <w:bookmarkEnd w:id="761"/>
      <w:bookmarkEnd w:id="762"/>
    </w:p>
    <w:p>
      <w:pPr>
        <w:spacing w:line="400" w:lineRule="exact"/>
        <w:ind w:firstLine="420" w:firstLineChars="200"/>
      </w:pPr>
      <w:bookmarkStart w:id="764" w:name="_Toc247085715"/>
      <w:bookmarkStart w:id="765" w:name="_Toc179632575"/>
      <w:bookmarkStart w:id="766" w:name="_Toc246996201"/>
      <w:bookmarkStart w:id="767" w:name="_Toc144974525"/>
      <w:bookmarkStart w:id="768" w:name="_Toc152042333"/>
      <w:bookmarkStart w:id="769" w:name="_Toc152045557"/>
      <w:bookmarkStart w:id="770" w:name="_Toc246996944"/>
      <w:r>
        <w:rPr>
          <w:rFonts w:hint="eastAsia"/>
        </w:rPr>
        <w:t>4.1.1在投标文件制作完成后，在投标文件制作软件点击【生成标书】按钮进入【填写开标一览表界面】界面，在该界面填写完开标一览表信息后点击【确定】，进入投标文件生成环节。投标文件制作软件会在投标文件生成过程中，提示用户输入密码，输入密码后对标文件自动进行加密，此加密程序确保投标文件在到达开标时间后才能解密查看。在加密过程中，请按照软件提示进行操作。加密操作界面如下图所示：</w:t>
      </w:r>
    </w:p>
    <w:p>
      <w:pPr>
        <w:rPr>
          <w:sz w:val="24"/>
        </w:rPr>
      </w:pPr>
      <w:r>
        <w:rPr>
          <w:szCs w:val="21"/>
        </w:rPr>
        <w:drawing>
          <wp:inline distT="0" distB="0" distL="114300" distR="114300">
            <wp:extent cx="5274310" cy="2722245"/>
            <wp:effectExtent l="0" t="0" r="2540" b="1905"/>
            <wp:docPr id="6" name="图片 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图形用户界面, 应用程序&#10;&#10;描述已自动生成"/>
                    <pic:cNvPicPr>
                      <a:picLocks noChangeAspect="1"/>
                    </pic:cNvPicPr>
                  </pic:nvPicPr>
                  <pic:blipFill>
                    <a:blip xmlns:r="http://schemas.openxmlformats.org/officeDocument/2006/relationships" r:embed="rId9"/>
                    <a:stretch>
                      <a:fillRect/>
                    </a:stretch>
                  </pic:blipFill>
                  <pic:spPr>
                    <a:xfrm>
                      <a:off x="0" y="0"/>
                      <a:ext cx="5274310" cy="2722245"/>
                    </a:xfrm>
                    <a:prstGeom prst="rect">
                      <a:avLst/>
                    </a:prstGeom>
                    <a:noFill/>
                    <a:ln>
                      <a:noFill/>
                    </a:ln>
                  </pic:spPr>
                </pic:pic>
              </a:graphicData>
            </a:graphic>
          </wp:inline>
        </w:drawing>
      </w:r>
    </w:p>
    <w:p>
      <w:pPr>
        <w:spacing w:line="400" w:lineRule="exact"/>
        <w:ind w:firstLine="420" w:firstLineChars="200"/>
        <w:rPr>
          <w:b/>
          <w:color w:val="FF0000"/>
        </w:rPr>
      </w:pPr>
      <w:r>
        <w:rPr>
          <w:rFonts w:hint="eastAsia"/>
          <w:b/>
          <w:color w:val="FF0000"/>
        </w:rPr>
        <w:t>备注：在投标文件制作软件点击【生成标书】按钮进入【填写开标一览表界面】界面，在该界面填写完开标一览表信息后点击【确定】，进入投标文件生成环节。</w:t>
      </w:r>
    </w:p>
    <w:p>
      <w:pPr>
        <w:spacing w:line="400" w:lineRule="exact"/>
        <w:ind w:firstLine="420" w:firstLineChars="200"/>
        <w:rPr>
          <w:b/>
          <w:color w:val="FF0000"/>
        </w:rPr>
      </w:pPr>
      <w:r>
        <w:rPr>
          <w:rFonts w:hint="eastAsia"/>
          <w:b/>
          <w:color w:val="FF0000"/>
        </w:rPr>
        <w:drawing>
          <wp:anchor distT="0" distB="0" distL="114300" distR="114300" simplePos="0" relativeHeight="251658240" behindDoc="0" locked="0" layoutInCell="1" allowOverlap="1">
            <wp:simplePos x="0" y="0"/>
            <wp:positionH relativeFrom="column">
              <wp:posOffset>171450</wp:posOffset>
            </wp:positionH>
            <wp:positionV relativeFrom="paragraph">
              <wp:posOffset>137795</wp:posOffset>
            </wp:positionV>
            <wp:extent cx="5274310" cy="2733675"/>
            <wp:effectExtent l="0" t="0" r="2540" b="9525"/>
            <wp:wrapNone/>
            <wp:docPr id="1" name="图片 8"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图形用户界面&#10;&#10;描述已自动生成"/>
                    <pic:cNvPicPr>
                      <a:picLocks noChangeAspect="1"/>
                    </pic:cNvPicPr>
                  </pic:nvPicPr>
                  <pic:blipFill>
                    <a:blip xmlns:r="http://schemas.openxmlformats.org/officeDocument/2006/relationships" r:embed="rId11"/>
                    <a:stretch>
                      <a:fillRect/>
                    </a:stretch>
                  </pic:blipFill>
                  <pic:spPr>
                    <a:xfrm>
                      <a:off x="0" y="0"/>
                      <a:ext cx="5274310" cy="2733675"/>
                    </a:xfrm>
                    <a:prstGeom prst="rect">
                      <a:avLst/>
                    </a:prstGeom>
                    <a:noFill/>
                    <a:ln>
                      <a:noFill/>
                    </a:ln>
                  </pic:spPr>
                </pic:pic>
              </a:graphicData>
            </a:graphic>
          </wp:anchor>
        </w:drawing>
      </w: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p>
    <w:p>
      <w:pPr>
        <w:spacing w:line="400" w:lineRule="exact"/>
        <w:ind w:firstLine="420" w:firstLineChars="200"/>
      </w:pPr>
      <w:r>
        <w:rPr>
          <w:rFonts w:hint="eastAsia"/>
          <w:b/>
          <w:color w:val="FF0000"/>
        </w:rPr>
        <w:t>备注：投标文件制作软件会在投标文件生成过程中，提示用户输入密码，输入密码后对标文件自动进行加密。</w:t>
      </w:r>
    </w:p>
    <w:p>
      <w:pPr>
        <w:spacing w:line="400" w:lineRule="exact"/>
        <w:ind w:firstLine="420" w:firstLineChars="200"/>
      </w:pPr>
    </w:p>
    <w:p>
      <w:pPr>
        <w:spacing w:line="400" w:lineRule="exact"/>
        <w:ind w:firstLine="420" w:firstLineChars="200"/>
      </w:pPr>
      <w:r>
        <w:rPr>
          <w:rFonts w:hint="eastAsia"/>
        </w:rPr>
        <w:t>4.1.2若采购项目出现延期情况，如果供下载的招标文件（后缀名为.szczf）有更新，投标人必须重新下载招标文件、重新制作投标文件、重新加密投标文件、重新上传投标文件；如果供下载的招标文件（后缀名为.szczf）没有更新，投标人必须重新加密投标文件、重新上传投标文件（是否重新制作投标文件根据项目实际情况定）。否则，投标人自行承担投标文件无法解密导致投标无效的后果。</w:t>
      </w:r>
    </w:p>
    <w:p>
      <w:pPr>
        <w:spacing w:line="400" w:lineRule="exact"/>
        <w:ind w:firstLine="420" w:firstLineChars="200"/>
      </w:pPr>
      <w:r>
        <w:rPr>
          <w:rFonts w:hint="eastAsia"/>
        </w:rPr>
        <w:t>4.1.3</w:t>
      </w:r>
      <w:r>
        <w:rPr>
          <w:rFonts w:hAnsi="宋体"/>
        </w:rPr>
        <w:t>投标</w:t>
      </w:r>
      <w:r>
        <w:rPr>
          <w:rFonts w:hAnsi="宋体" w:hint="eastAsia"/>
        </w:rPr>
        <w:t>文件</w:t>
      </w:r>
      <w:r>
        <w:rPr>
          <w:rFonts w:hAnsi="宋体"/>
        </w:rPr>
        <w:t>编写完成后，必须用属于本公司的电子密钥进行加密，否则视同未盖公章，将导致投标文件无效。</w:t>
      </w:r>
    </w:p>
    <w:p>
      <w:pPr>
        <w:pStyle w:val="Heading3"/>
      </w:pPr>
      <w:bookmarkStart w:id="771" w:name="_Toc296602445"/>
      <w:bookmarkStart w:id="772" w:name="_Toc25465"/>
      <w:bookmarkStart w:id="773" w:name="_Toc13362"/>
      <w:bookmarkStart w:id="774" w:name="_Toc1873"/>
      <w:bookmarkStart w:id="775" w:name="_Toc11998"/>
      <w:bookmarkStart w:id="776" w:name="_Toc256000112"/>
      <w:r>
        <w:rPr>
          <w:rFonts w:hint="eastAsia"/>
        </w:rPr>
        <w:t>4.2 投标文件的递交</w:t>
      </w:r>
      <w:bookmarkEnd w:id="776"/>
      <w:bookmarkEnd w:id="764"/>
      <w:bookmarkEnd w:id="765"/>
      <w:bookmarkEnd w:id="766"/>
      <w:bookmarkEnd w:id="767"/>
      <w:bookmarkEnd w:id="768"/>
      <w:bookmarkEnd w:id="769"/>
      <w:bookmarkEnd w:id="770"/>
      <w:bookmarkEnd w:id="771"/>
      <w:bookmarkEnd w:id="772"/>
      <w:bookmarkEnd w:id="773"/>
      <w:bookmarkEnd w:id="774"/>
      <w:bookmarkEnd w:id="775"/>
    </w:p>
    <w:p>
      <w:pPr>
        <w:spacing w:line="400" w:lineRule="exact"/>
        <w:ind w:firstLine="420" w:firstLineChars="200"/>
      </w:pPr>
      <w:r>
        <w:rPr>
          <w:rFonts w:hint="eastAsia"/>
        </w:rPr>
        <w:t>4.2.1本项目实行网上投标，</w:t>
      </w:r>
      <w:r>
        <w:rPr>
          <w:rFonts w:hAnsi="宋体" w:hint="eastAsia"/>
        </w:rPr>
        <w:t>投标人必须在招标文件规定的投标截止时间前用电子密钥登录“深圳政府采购智慧平台系统（http://zfcg.szggzy.com:8081/）”后，用“【我的项目】→【项目流程】→【递交投标(应答)文件】”功能点上传投标文件。如果确有困难，多次上传均告失败，请在投标截止时间之前咨询热线电话:0755-83938599，83948100，83938584</w:t>
      </w:r>
      <w:r>
        <w:rPr>
          <w:rFonts w:hint="eastAsia"/>
        </w:rPr>
        <w:t>。</w:t>
      </w:r>
    </w:p>
    <w:p>
      <w:pPr>
        <w:spacing w:line="400" w:lineRule="exact"/>
        <w:ind w:firstLine="420" w:firstLineChars="200"/>
      </w:pPr>
      <w:r>
        <w:rPr>
          <w:rFonts w:hint="eastAsia"/>
        </w:rPr>
        <w:t>4.2.2</w:t>
      </w:r>
      <w:r>
        <w:rPr>
          <w:rFonts w:hAnsi="宋体" w:hint="eastAsia"/>
        </w:rPr>
        <w:t>采购代理</w:t>
      </w:r>
      <w:r>
        <w:rPr>
          <w:rFonts w:hAnsi="宋体"/>
        </w:rPr>
        <w:t>机构不接受投标截止时间后递交的纸质、电子、传真等所有形式的投标文件。由于对网上招投标操作不熟悉或自身电脑、网络等原因导致不能在投标截止时间之前上传投标文件，</w:t>
      </w:r>
      <w:r>
        <w:rPr>
          <w:rFonts w:hAnsi="宋体" w:hint="eastAsia"/>
        </w:rPr>
        <w:t>采购代理</w:t>
      </w:r>
      <w:r>
        <w:rPr>
          <w:rFonts w:hAnsi="宋体"/>
        </w:rPr>
        <w:t>机构概不负责。建议于开标前一个工作日完成投标文件的制作与上传。</w:t>
      </w:r>
      <w:r>
        <w:rPr>
          <w:rFonts w:hint="eastAsia"/>
        </w:rPr>
        <w:t>如果制作或上传有困难，请及时咨询中采信息技术有限公司，联系电话：0755-27758326。</w:t>
      </w:r>
    </w:p>
    <w:p>
      <w:pPr>
        <w:spacing w:line="400" w:lineRule="exact"/>
        <w:ind w:firstLine="420" w:firstLineChars="200"/>
      </w:pPr>
      <w:r>
        <w:rPr>
          <w:rFonts w:hint="eastAsia"/>
        </w:rPr>
        <w:t>4.2</w:t>
      </w:r>
      <w:r>
        <w:t>.</w:t>
      </w:r>
      <w:r>
        <w:rPr>
          <w:rFonts w:hint="eastAsia"/>
        </w:rPr>
        <w:t>3投标截止时间以后不得上传投标文件。</w:t>
      </w:r>
    </w:p>
    <w:p>
      <w:pPr>
        <w:spacing w:line="400" w:lineRule="exact"/>
        <w:ind w:firstLine="420" w:firstLineChars="200"/>
        <w:rPr>
          <w:rFonts w:hAnsi="宋体"/>
        </w:rPr>
      </w:pPr>
      <w:r>
        <w:rPr>
          <w:rFonts w:hint="eastAsia"/>
        </w:rPr>
        <w:t>4.2.4</w:t>
      </w:r>
      <w:r>
        <w:rPr>
          <w:rFonts w:hAnsi="宋体"/>
        </w:rPr>
        <w:t>如果开标时出现网络故障、技术故障，影响了招投标活动，</w:t>
      </w:r>
      <w:r>
        <w:rPr>
          <w:rFonts w:hAnsi="宋体" w:hint="eastAsia"/>
        </w:rPr>
        <w:t>采购代理</w:t>
      </w:r>
      <w:r>
        <w:rPr>
          <w:rFonts w:hAnsi="宋体"/>
        </w:rPr>
        <w:t>机构有权采取措施如延期、接受无法从网上上传的投标书等，以保障招投标活动的公开、公平和公正。</w:t>
      </w:r>
    </w:p>
    <w:p>
      <w:pPr>
        <w:spacing w:line="400" w:lineRule="exact"/>
        <w:ind w:firstLine="420" w:firstLineChars="200"/>
      </w:pPr>
      <w:r>
        <w:rPr>
          <w:rFonts w:hAnsi="宋体" w:hint="eastAsia"/>
        </w:rPr>
        <w:t>4.2.5除</w:t>
      </w:r>
      <w:r>
        <w:rPr>
          <w:rFonts w:eastAsia="黑体" w:hint="eastAsia"/>
          <w:b/>
        </w:rPr>
        <w:t>投标资料表</w:t>
      </w:r>
      <w:r>
        <w:rPr>
          <w:rFonts w:hAnsi="宋体" w:hint="eastAsia"/>
        </w:rPr>
        <w:t>另有规定外，投标人所递交的投标文件不予退还。</w:t>
      </w:r>
    </w:p>
    <w:p>
      <w:pPr>
        <w:spacing w:line="400" w:lineRule="exact"/>
        <w:ind w:firstLine="420" w:firstLineChars="200"/>
      </w:pPr>
    </w:p>
    <w:p>
      <w:pPr>
        <w:pStyle w:val="Heading3"/>
      </w:pPr>
      <w:bookmarkStart w:id="777" w:name="_Toc247085716"/>
      <w:bookmarkStart w:id="778" w:name="_Toc17270"/>
      <w:bookmarkStart w:id="779" w:name="_Toc179632576"/>
      <w:bookmarkStart w:id="780" w:name="_Toc152045558"/>
      <w:bookmarkStart w:id="781" w:name="_Toc246996202"/>
      <w:bookmarkStart w:id="782" w:name="_Toc296602446"/>
      <w:bookmarkStart w:id="783" w:name="_Toc19993"/>
      <w:bookmarkStart w:id="784" w:name="_Toc28985"/>
      <w:bookmarkStart w:id="785" w:name="_Toc246996945"/>
      <w:bookmarkStart w:id="786" w:name="_Toc8000"/>
      <w:bookmarkStart w:id="787" w:name="_Toc152042334"/>
      <w:bookmarkStart w:id="788" w:name="_Toc144974526"/>
      <w:bookmarkStart w:id="789" w:name="_Toc256000113"/>
      <w:r>
        <w:rPr>
          <w:rFonts w:hint="eastAsia"/>
        </w:rPr>
        <w:t>4.3 投标文件的修改与撤回</w:t>
      </w:r>
      <w:bookmarkEnd w:id="789"/>
      <w:bookmarkEnd w:id="777"/>
      <w:bookmarkEnd w:id="778"/>
      <w:bookmarkEnd w:id="779"/>
      <w:bookmarkEnd w:id="780"/>
      <w:bookmarkEnd w:id="781"/>
      <w:bookmarkEnd w:id="782"/>
      <w:bookmarkEnd w:id="783"/>
      <w:bookmarkEnd w:id="784"/>
      <w:bookmarkEnd w:id="785"/>
      <w:bookmarkEnd w:id="786"/>
      <w:bookmarkEnd w:id="787"/>
      <w:bookmarkEnd w:id="788"/>
    </w:p>
    <w:p>
      <w:pPr>
        <w:spacing w:line="400" w:lineRule="exact"/>
        <w:ind w:firstLine="420" w:firstLineChars="200"/>
      </w:pPr>
      <w:r>
        <w:rPr>
          <w:rFonts w:hint="eastAsia"/>
        </w:rPr>
        <w:t>4.3.1投标截止时间前，供应商</w:t>
      </w:r>
      <w:r>
        <w:t>在提交投标文件后可对其投标文件进行修改</w:t>
      </w:r>
      <w:r>
        <w:rPr>
          <w:rFonts w:hint="eastAsia"/>
        </w:rPr>
        <w:t>并重新上传投标文件</w:t>
      </w:r>
      <w:r>
        <w:t>或</w:t>
      </w:r>
      <w:r>
        <w:rPr>
          <w:rFonts w:hint="eastAsia"/>
        </w:rPr>
        <w:t>在网上进行</w:t>
      </w:r>
      <w:r>
        <w:t>撤销</w:t>
      </w:r>
      <w:r>
        <w:rPr>
          <w:rFonts w:hint="eastAsia"/>
        </w:rPr>
        <w:t>投标的操作</w:t>
      </w:r>
      <w:r>
        <w:t>。</w:t>
      </w:r>
    </w:p>
    <w:p>
      <w:pPr>
        <w:spacing w:line="400" w:lineRule="exact"/>
        <w:ind w:firstLine="420" w:firstLineChars="200"/>
      </w:pPr>
      <w:r>
        <w:rPr>
          <w:rFonts w:hint="eastAsia"/>
        </w:rPr>
        <w:t>4.3.2</w:t>
      </w:r>
      <w:r>
        <w:t>投标截止时间以后不得修改</w:t>
      </w:r>
      <w:r>
        <w:rPr>
          <w:rFonts w:hint="eastAsia"/>
        </w:rPr>
        <w:t>或撤回其</w:t>
      </w:r>
      <w:r>
        <w:t>投标文件。</w:t>
      </w:r>
    </w:p>
    <w:p>
      <w:pPr>
        <w:pStyle w:val="Heading2"/>
      </w:pPr>
      <w:bookmarkStart w:id="790" w:name="_Toc15952"/>
      <w:bookmarkStart w:id="791" w:name="_Toc152045559"/>
      <w:bookmarkStart w:id="792" w:name="_Toc3875"/>
      <w:bookmarkStart w:id="793" w:name="_Toc144974527"/>
      <w:bookmarkStart w:id="794" w:name="_Toc152042335"/>
      <w:bookmarkStart w:id="795" w:name="_Toc296602447"/>
      <w:bookmarkStart w:id="796" w:name="_Toc179632577"/>
      <w:bookmarkStart w:id="797" w:name="_Toc556"/>
      <w:bookmarkStart w:id="798" w:name="_Toc246996203"/>
      <w:bookmarkStart w:id="799" w:name="_Toc247085717"/>
      <w:bookmarkStart w:id="800" w:name="_Toc246996946"/>
      <w:bookmarkStart w:id="801" w:name="_Toc9213"/>
      <w:bookmarkStart w:id="802" w:name="_Toc256000114"/>
      <w:r>
        <w:rPr>
          <w:rFonts w:hint="eastAsia"/>
        </w:rPr>
        <w:t>5. 开标</w:t>
      </w:r>
      <w:bookmarkEnd w:id="802"/>
      <w:bookmarkEnd w:id="790"/>
      <w:bookmarkEnd w:id="791"/>
      <w:bookmarkEnd w:id="792"/>
      <w:bookmarkEnd w:id="793"/>
      <w:bookmarkEnd w:id="794"/>
      <w:bookmarkEnd w:id="795"/>
      <w:bookmarkEnd w:id="796"/>
      <w:bookmarkEnd w:id="797"/>
      <w:bookmarkEnd w:id="798"/>
      <w:bookmarkEnd w:id="799"/>
      <w:bookmarkEnd w:id="800"/>
      <w:bookmarkEnd w:id="801"/>
    </w:p>
    <w:p>
      <w:pPr>
        <w:pStyle w:val="Heading3"/>
      </w:pPr>
      <w:bookmarkStart w:id="803" w:name="_Toc31650"/>
      <w:bookmarkStart w:id="804" w:name="_Toc246996204"/>
      <w:bookmarkStart w:id="805" w:name="_Toc28613"/>
      <w:bookmarkStart w:id="806" w:name="_Toc247085718"/>
      <w:bookmarkStart w:id="807" w:name="_Toc144974528"/>
      <w:bookmarkStart w:id="808" w:name="_Toc152045560"/>
      <w:bookmarkStart w:id="809" w:name="_Toc10341"/>
      <w:bookmarkStart w:id="810" w:name="_Toc10226"/>
      <w:bookmarkStart w:id="811" w:name="_Toc152042336"/>
      <w:bookmarkStart w:id="812" w:name="_Toc296602448"/>
      <w:bookmarkStart w:id="813" w:name="_Toc246996947"/>
      <w:bookmarkStart w:id="814" w:name="_Toc179632578"/>
      <w:bookmarkStart w:id="815" w:name="_Toc256000115"/>
      <w:r>
        <w:rPr>
          <w:rFonts w:hint="eastAsia"/>
        </w:rPr>
        <w:t>5.1 开标时间（投标截止时间）和地点</w:t>
      </w:r>
      <w:bookmarkEnd w:id="815"/>
      <w:bookmarkEnd w:id="803"/>
      <w:bookmarkEnd w:id="804"/>
      <w:bookmarkEnd w:id="805"/>
      <w:bookmarkEnd w:id="806"/>
      <w:bookmarkEnd w:id="807"/>
      <w:bookmarkEnd w:id="808"/>
      <w:bookmarkEnd w:id="809"/>
      <w:bookmarkEnd w:id="810"/>
      <w:bookmarkEnd w:id="811"/>
      <w:bookmarkEnd w:id="812"/>
      <w:bookmarkEnd w:id="813"/>
      <w:bookmarkEnd w:id="814"/>
    </w:p>
    <w:p>
      <w:pPr>
        <w:spacing w:line="400" w:lineRule="exact"/>
        <w:ind w:firstLine="420" w:firstLineChars="200"/>
      </w:pPr>
      <w:r>
        <w:rPr>
          <w:rFonts w:hint="eastAsia"/>
        </w:rPr>
        <w:t>5.1.1开标时间和投标截止时间是同一时间。开标时间（投标截止时间）和开标地点见</w:t>
      </w:r>
      <w:r>
        <w:rPr>
          <w:rFonts w:eastAsia="黑体" w:hint="eastAsia"/>
          <w:b/>
        </w:rPr>
        <w:t>投标资料表。</w:t>
      </w:r>
      <w:r>
        <w:rPr>
          <w:rFonts w:eastAsia="宋体" w:hint="eastAsia"/>
        </w:rPr>
        <w:t>采购</w:t>
      </w:r>
      <w:r>
        <w:rPr>
          <w:rFonts w:hint="eastAsia"/>
        </w:rPr>
        <w:t>代理机构将在上述时间地点组织公开开标。</w:t>
      </w:r>
    </w:p>
    <w:p>
      <w:pPr>
        <w:pStyle w:val="Heading3"/>
        <w:spacing w:line="400" w:lineRule="exact"/>
      </w:pPr>
      <w:bookmarkStart w:id="816" w:name="_Toc17375"/>
      <w:bookmarkStart w:id="817" w:name="_Toc24635"/>
      <w:bookmarkStart w:id="818" w:name="_Toc30304"/>
      <w:bookmarkStart w:id="819" w:name="_Toc7304"/>
      <w:bookmarkStart w:id="820" w:name="_Toc256000116"/>
      <w:r>
        <w:rPr>
          <w:rFonts w:hint="eastAsia"/>
        </w:rPr>
        <w:t>5.2 不予开标</w:t>
      </w:r>
      <w:bookmarkEnd w:id="820"/>
      <w:bookmarkEnd w:id="816"/>
      <w:bookmarkEnd w:id="817"/>
      <w:bookmarkEnd w:id="818"/>
      <w:bookmarkEnd w:id="819"/>
    </w:p>
    <w:p>
      <w:pPr>
        <w:spacing w:line="400" w:lineRule="exact"/>
        <w:ind w:firstLine="420" w:firstLineChars="200"/>
      </w:pPr>
      <w:r>
        <w:rPr>
          <w:rFonts w:hint="eastAsia"/>
        </w:rPr>
        <w:t>投标截止时间到达后，投标人数量不足</w:t>
      </w:r>
      <w:r>
        <w:t>3</w:t>
      </w:r>
      <w:r>
        <w:rPr>
          <w:rFonts w:hint="eastAsia"/>
        </w:rPr>
        <w:t>家的不予开标。</w:t>
      </w:r>
    </w:p>
    <w:p>
      <w:pPr>
        <w:pStyle w:val="Heading3"/>
      </w:pPr>
      <w:bookmarkStart w:id="821" w:name="_Toc247085719"/>
      <w:bookmarkStart w:id="822" w:name="_Toc32715"/>
      <w:bookmarkStart w:id="823" w:name="_Toc31393"/>
      <w:bookmarkStart w:id="824" w:name="_Toc246996948"/>
      <w:bookmarkStart w:id="825" w:name="_Toc179632579"/>
      <w:bookmarkStart w:id="826" w:name="_Toc246996205"/>
      <w:bookmarkStart w:id="827" w:name="_Toc24752"/>
      <w:bookmarkStart w:id="828" w:name="_Toc152042337"/>
      <w:bookmarkStart w:id="829" w:name="_Toc152045561"/>
      <w:bookmarkStart w:id="830" w:name="_Toc144974529"/>
      <w:bookmarkStart w:id="831" w:name="_Toc296602449"/>
      <w:bookmarkStart w:id="832" w:name="_Toc20584"/>
      <w:bookmarkStart w:id="833" w:name="_Toc256000117"/>
      <w:r>
        <w:rPr>
          <w:rFonts w:hint="eastAsia"/>
        </w:rPr>
        <w:t>5.3 开标程序</w:t>
      </w:r>
      <w:bookmarkEnd w:id="833"/>
      <w:bookmarkEnd w:id="821"/>
      <w:bookmarkEnd w:id="822"/>
      <w:bookmarkEnd w:id="823"/>
      <w:bookmarkEnd w:id="824"/>
      <w:bookmarkEnd w:id="825"/>
      <w:bookmarkEnd w:id="826"/>
      <w:bookmarkEnd w:id="827"/>
      <w:bookmarkEnd w:id="828"/>
      <w:bookmarkEnd w:id="829"/>
      <w:bookmarkEnd w:id="830"/>
      <w:bookmarkEnd w:id="831"/>
      <w:bookmarkEnd w:id="832"/>
    </w:p>
    <w:p>
      <w:pPr>
        <w:spacing w:line="400" w:lineRule="exact"/>
        <w:ind w:firstLine="420" w:firstLineChars="200"/>
      </w:pPr>
      <w:r>
        <w:rPr>
          <w:rFonts w:hint="eastAsia"/>
        </w:rPr>
        <w:t>5.3.1网上投标的，</w:t>
      </w:r>
      <w:r>
        <w:rPr>
          <w:rFonts w:ascii="宋体" w:hAnsi="宋体" w:cs="宋体" w:hint="eastAsia"/>
          <w:kern w:val="0"/>
          <w:szCs w:val="21"/>
        </w:rPr>
        <w:t>投标人须在开标当日的开标时间至解密截止时间内进行解密，逾期未解密的作无效处理。解密方法：登录</w:t>
      </w:r>
      <w:r>
        <w:rPr>
          <w:rFonts w:eastAsia="Times New Roman"/>
          <w:kern w:val="0"/>
          <w:szCs w:val="21"/>
        </w:rPr>
        <w:t>“</w:t>
      </w:r>
      <w:r>
        <w:rPr>
          <w:rFonts w:ascii="宋体" w:hAnsi="宋体" w:cs="宋体" w:hint="eastAsia"/>
          <w:kern w:val="0"/>
          <w:szCs w:val="21"/>
        </w:rPr>
        <w:t>深圳政府采购智慧平台系统（</w:t>
      </w:r>
      <w:r>
        <w:rPr>
          <w:rFonts w:eastAsia="Times New Roman"/>
          <w:kern w:val="0"/>
          <w:szCs w:val="21"/>
        </w:rPr>
        <w:t>http://zfcg.szggzy.com:8081/</w:t>
      </w:r>
      <w:r>
        <w:rPr>
          <w:rFonts w:ascii="宋体" w:hAnsi="宋体" w:cs="宋体" w:hint="eastAsia"/>
          <w:kern w:val="0"/>
          <w:szCs w:val="21"/>
        </w:rPr>
        <w:t>）</w:t>
      </w:r>
      <w:r>
        <w:rPr>
          <w:rFonts w:eastAsia="Times New Roman"/>
          <w:kern w:val="0"/>
          <w:szCs w:val="21"/>
        </w:rPr>
        <w:t>”</w:t>
      </w:r>
      <w:r>
        <w:rPr>
          <w:rFonts w:ascii="宋体" w:hAnsi="宋体" w:cs="宋体" w:hint="eastAsia"/>
          <w:kern w:val="0"/>
          <w:szCs w:val="21"/>
        </w:rPr>
        <w:t>，使用本单位制作电子投标文件同一个电子密钥，在</w:t>
      </w:r>
      <w:r>
        <w:rPr>
          <w:rFonts w:eastAsia="Times New Roman"/>
          <w:kern w:val="0"/>
          <w:szCs w:val="21"/>
        </w:rPr>
        <w:t>“</w:t>
      </w:r>
      <w:r>
        <w:rPr>
          <w:rFonts w:ascii="宋体" w:hAnsi="宋体" w:cs="宋体" w:hint="eastAsia"/>
          <w:kern w:val="0"/>
          <w:szCs w:val="21"/>
        </w:rPr>
        <w:t>【我的项目】</w:t>
      </w:r>
      <w:r>
        <w:rPr>
          <w:rFonts w:eastAsia="Times New Roman"/>
          <w:kern w:val="0"/>
          <w:szCs w:val="21"/>
        </w:rPr>
        <w:t>→</w:t>
      </w:r>
      <w:r>
        <w:rPr>
          <w:rFonts w:ascii="宋体" w:hAnsi="宋体" w:cs="宋体" w:hint="eastAsia"/>
          <w:kern w:val="0"/>
          <w:szCs w:val="21"/>
        </w:rPr>
        <w:t>【项目流程】</w:t>
      </w:r>
      <w:r>
        <w:rPr>
          <w:rFonts w:eastAsia="Times New Roman"/>
          <w:kern w:val="0"/>
          <w:szCs w:val="21"/>
        </w:rPr>
        <w:t>→</w:t>
      </w:r>
      <w:r>
        <w:rPr>
          <w:rFonts w:ascii="宋体" w:hAnsi="宋体" w:cs="宋体" w:hint="eastAsia"/>
          <w:kern w:val="0"/>
          <w:szCs w:val="21"/>
        </w:rPr>
        <w:t>【开标及解密】</w:t>
      </w:r>
      <w:r>
        <w:rPr>
          <w:rFonts w:eastAsia="Times New Roman"/>
          <w:kern w:val="0"/>
          <w:szCs w:val="21"/>
        </w:rPr>
        <w:t>”</w:t>
      </w:r>
      <w:r>
        <w:rPr>
          <w:rFonts w:ascii="宋体" w:hAnsi="宋体" w:cs="宋体" w:hint="eastAsia"/>
          <w:kern w:val="0"/>
          <w:szCs w:val="21"/>
        </w:rPr>
        <w:t>进行在线解密、查询开标情况</w:t>
      </w:r>
      <w:r>
        <w:rPr>
          <w:rFonts w:hint="eastAsia"/>
        </w:rPr>
        <w:t>。</w:t>
      </w:r>
    </w:p>
    <w:p>
      <w:pPr>
        <w:spacing w:line="400" w:lineRule="exact"/>
        <w:ind w:firstLine="420" w:firstLineChars="200"/>
      </w:pPr>
      <w:r>
        <w:rPr>
          <w:rFonts w:hint="eastAsia"/>
        </w:rPr>
        <w:t>5.3.2采购代理机构将在满足开标条件（①解密时间结束，解密后的投标供应商数量满足开标要求或②解密时间结束前所有投标供应商均完成投标文件解密）后，对投标文件进行开标，并在网上公布开标结果。</w:t>
      </w:r>
    </w:p>
    <w:p>
      <w:pPr>
        <w:pStyle w:val="Heading2"/>
      </w:pPr>
      <w:bookmarkStart w:id="834" w:name="_Toc14388"/>
      <w:bookmarkStart w:id="835" w:name="_Toc179632580"/>
      <w:bookmarkStart w:id="836" w:name="_Toc28237"/>
      <w:bookmarkStart w:id="837" w:name="_Toc25587"/>
      <w:bookmarkStart w:id="838" w:name="_Toc246996949"/>
      <w:bookmarkStart w:id="839" w:name="_Toc246996206"/>
      <w:bookmarkStart w:id="840" w:name="_Toc3475"/>
      <w:bookmarkStart w:id="841" w:name="_Toc152045562"/>
      <w:bookmarkStart w:id="842" w:name="_Toc152042338"/>
      <w:bookmarkStart w:id="843" w:name="_Toc296602451"/>
      <w:bookmarkStart w:id="844" w:name="_Toc144974530"/>
      <w:bookmarkStart w:id="845" w:name="_Toc247085720"/>
      <w:bookmarkStart w:id="846" w:name="_Toc256000118"/>
      <w:r>
        <w:rPr>
          <w:rFonts w:hint="eastAsia"/>
        </w:rPr>
        <w:t>6. 资格审查及评标</w:t>
      </w:r>
      <w:bookmarkEnd w:id="846"/>
      <w:bookmarkEnd w:id="834"/>
      <w:bookmarkEnd w:id="835"/>
      <w:bookmarkEnd w:id="836"/>
      <w:bookmarkEnd w:id="837"/>
      <w:bookmarkEnd w:id="838"/>
      <w:bookmarkEnd w:id="839"/>
      <w:bookmarkEnd w:id="840"/>
      <w:bookmarkEnd w:id="841"/>
      <w:bookmarkEnd w:id="842"/>
      <w:bookmarkEnd w:id="843"/>
      <w:bookmarkEnd w:id="844"/>
      <w:bookmarkEnd w:id="845"/>
    </w:p>
    <w:p>
      <w:pPr>
        <w:pStyle w:val="Heading3"/>
      </w:pPr>
      <w:bookmarkStart w:id="847" w:name="_Toc246996950"/>
      <w:bookmarkStart w:id="848" w:name="_Toc247085721"/>
      <w:bookmarkStart w:id="849" w:name="_Toc152045563"/>
      <w:bookmarkStart w:id="850" w:name="_Toc296602452"/>
      <w:bookmarkStart w:id="851" w:name="_Toc152042339"/>
      <w:bookmarkStart w:id="852" w:name="_Toc144974531"/>
      <w:bookmarkStart w:id="853" w:name="_Toc246996207"/>
      <w:bookmarkStart w:id="854" w:name="_Toc179632581"/>
      <w:bookmarkStart w:id="855" w:name="_Toc23148"/>
      <w:bookmarkStart w:id="856" w:name="_Toc19417"/>
      <w:bookmarkStart w:id="857" w:name="_Toc14258"/>
      <w:bookmarkStart w:id="858" w:name="_Toc4372"/>
      <w:bookmarkStart w:id="859" w:name="_Toc256000119"/>
      <w:r>
        <w:rPr>
          <w:rFonts w:hint="eastAsia"/>
        </w:rPr>
        <w:t xml:space="preserve">6.1 </w:t>
      </w:r>
      <w:bookmarkEnd w:id="847"/>
      <w:bookmarkEnd w:id="848"/>
      <w:bookmarkEnd w:id="849"/>
      <w:bookmarkEnd w:id="850"/>
      <w:bookmarkEnd w:id="851"/>
      <w:bookmarkEnd w:id="852"/>
      <w:bookmarkEnd w:id="853"/>
      <w:bookmarkEnd w:id="854"/>
      <w:r>
        <w:rPr>
          <w:rFonts w:hint="eastAsia"/>
        </w:rPr>
        <w:t>资格审查</w:t>
      </w:r>
      <w:bookmarkEnd w:id="859"/>
      <w:bookmarkEnd w:id="855"/>
      <w:bookmarkEnd w:id="856"/>
      <w:bookmarkEnd w:id="857"/>
      <w:bookmarkEnd w:id="858"/>
    </w:p>
    <w:p>
      <w:pPr>
        <w:spacing w:line="400" w:lineRule="exact"/>
        <w:ind w:firstLine="420" w:firstLineChars="200"/>
      </w:pPr>
      <w:r>
        <w:rPr>
          <w:rFonts w:hint="eastAsia"/>
        </w:rPr>
        <w:t>6.1.1公开招标采购项目开标结束后，采购代理机构依法组织对投标人的资格进行审查。资格审查的内容详见第三章“资格审查和评标方法”。</w:t>
      </w:r>
    </w:p>
    <w:p>
      <w:pPr>
        <w:spacing w:line="400" w:lineRule="exact"/>
        <w:ind w:firstLine="420" w:firstLineChars="200"/>
      </w:pPr>
      <w:r>
        <w:rPr>
          <w:rFonts w:hint="eastAsia"/>
        </w:rPr>
        <w:t>6.1.2合格投标人不足3家的，不得评标。</w:t>
      </w:r>
    </w:p>
    <w:p>
      <w:pPr>
        <w:pStyle w:val="Heading3"/>
      </w:pPr>
      <w:bookmarkStart w:id="860" w:name="_Toc5053"/>
      <w:bookmarkStart w:id="861" w:name="_Toc9772"/>
      <w:bookmarkStart w:id="862" w:name="_Toc30598"/>
      <w:bookmarkStart w:id="863" w:name="_Toc27522"/>
      <w:bookmarkStart w:id="864" w:name="_Toc256000120"/>
      <w:r>
        <w:rPr>
          <w:rFonts w:hint="eastAsia"/>
        </w:rPr>
        <w:t>6.2 评标委员会</w:t>
      </w:r>
      <w:bookmarkEnd w:id="864"/>
      <w:bookmarkEnd w:id="860"/>
      <w:bookmarkEnd w:id="861"/>
      <w:bookmarkEnd w:id="862"/>
      <w:bookmarkEnd w:id="863"/>
    </w:p>
    <w:p>
      <w:pPr>
        <w:spacing w:line="400" w:lineRule="exact"/>
        <w:ind w:firstLine="420" w:firstLineChars="200"/>
      </w:pPr>
      <w:r>
        <w:rPr>
          <w:rFonts w:hint="eastAsia"/>
        </w:rPr>
        <w:t>6.2.1 采购代理机构负责组织评标工作，评标委员会负责具体评标事务，评标委员会由采购人代表和评审专家组成。评标委员会成员人数和评审专家的确定方式见</w:t>
      </w:r>
      <w:r>
        <w:rPr>
          <w:rFonts w:eastAsia="黑体" w:hint="eastAsia"/>
          <w:b/>
        </w:rPr>
        <w:t>投标资料表</w:t>
      </w:r>
      <w:r>
        <w:rPr>
          <w:rFonts w:hint="eastAsia"/>
        </w:rPr>
        <w:t>。</w:t>
      </w:r>
    </w:p>
    <w:p>
      <w:pPr>
        <w:spacing w:line="400" w:lineRule="exact"/>
        <w:ind w:firstLine="420" w:firstLineChars="200"/>
      </w:pPr>
      <w:r>
        <w:rPr>
          <w:rFonts w:hint="eastAsia"/>
        </w:rPr>
        <w:t>6.2.2 评标委员会成员有下列情形之一的，应当回避：</w:t>
      </w:r>
    </w:p>
    <w:p>
      <w:pPr>
        <w:spacing w:line="400" w:lineRule="exact"/>
        <w:ind w:firstLine="359" w:firstLineChars="171"/>
      </w:pPr>
      <w:r>
        <w:rPr>
          <w:rFonts w:hint="eastAsia"/>
        </w:rPr>
        <w:t>（1）参加采购活动前三年内，与供应商存在劳动关系，或者担任过供应商的董事、监事，或者是供应商的控股股东或实际控制人；</w:t>
      </w:r>
    </w:p>
    <w:p>
      <w:pPr>
        <w:spacing w:line="400" w:lineRule="exact"/>
        <w:ind w:firstLine="359" w:firstLineChars="171"/>
      </w:pPr>
      <w:r>
        <w:rPr>
          <w:rFonts w:hint="eastAsia"/>
        </w:rPr>
        <w:t>（2）与供应商的法定代表人或者负责人有夫妻、直系血亲、三代以内旁系血亲或者近姻亲关系；</w:t>
      </w:r>
    </w:p>
    <w:p>
      <w:pPr>
        <w:spacing w:line="400" w:lineRule="exact"/>
        <w:ind w:firstLine="359" w:firstLineChars="171"/>
      </w:pPr>
      <w:r>
        <w:rPr>
          <w:rFonts w:hint="eastAsia"/>
        </w:rPr>
        <w:t>（3）与供应商有其他可能影响政府采购活动公平、公正进行的关系。</w:t>
      </w:r>
    </w:p>
    <w:p>
      <w:pPr>
        <w:pStyle w:val="Heading3"/>
      </w:pPr>
      <w:bookmarkStart w:id="865" w:name="_Toc25413"/>
      <w:bookmarkStart w:id="866" w:name="_Toc144974532"/>
      <w:bookmarkStart w:id="867" w:name="_Toc18252"/>
      <w:bookmarkStart w:id="868" w:name="_Toc152042340"/>
      <w:bookmarkStart w:id="869" w:name="_Toc179632582"/>
      <w:bookmarkStart w:id="870" w:name="_Toc246996951"/>
      <w:bookmarkStart w:id="871" w:name="_Toc2116"/>
      <w:bookmarkStart w:id="872" w:name="_Toc152045564"/>
      <w:bookmarkStart w:id="873" w:name="_Toc246996208"/>
      <w:bookmarkStart w:id="874" w:name="_Toc247085722"/>
      <w:bookmarkStart w:id="875" w:name="_Toc25364"/>
      <w:bookmarkStart w:id="876" w:name="_Toc296602453"/>
      <w:bookmarkStart w:id="877" w:name="_Toc256000121"/>
      <w:r>
        <w:rPr>
          <w:rFonts w:hint="eastAsia"/>
        </w:rPr>
        <w:t>6.3 评标原则</w:t>
      </w:r>
      <w:bookmarkEnd w:id="877"/>
      <w:bookmarkEnd w:id="865"/>
      <w:bookmarkEnd w:id="866"/>
      <w:bookmarkEnd w:id="867"/>
      <w:bookmarkEnd w:id="868"/>
      <w:bookmarkEnd w:id="869"/>
      <w:bookmarkEnd w:id="870"/>
      <w:bookmarkEnd w:id="871"/>
      <w:bookmarkEnd w:id="872"/>
      <w:bookmarkEnd w:id="873"/>
      <w:bookmarkEnd w:id="874"/>
      <w:bookmarkEnd w:id="875"/>
      <w:bookmarkEnd w:id="876"/>
    </w:p>
    <w:p>
      <w:pPr>
        <w:spacing w:line="400" w:lineRule="exact"/>
        <w:ind w:firstLine="420" w:firstLineChars="200"/>
      </w:pPr>
      <w:r>
        <w:rPr>
          <w:rFonts w:hint="eastAsia"/>
        </w:rPr>
        <w:t>评标活动遵循公平、公正、科学和择优的原则。</w:t>
      </w:r>
    </w:p>
    <w:p>
      <w:pPr>
        <w:pStyle w:val="Heading3"/>
        <w:spacing w:line="400" w:lineRule="exact"/>
      </w:pPr>
      <w:bookmarkStart w:id="878" w:name="_Toc4056"/>
      <w:bookmarkStart w:id="879" w:name="_Toc1725"/>
      <w:bookmarkStart w:id="880" w:name="_Toc6361"/>
      <w:bookmarkStart w:id="881" w:name="_Toc8458"/>
      <w:bookmarkStart w:id="882" w:name="_Toc256000122"/>
      <w:r>
        <w:rPr>
          <w:rFonts w:hint="eastAsia"/>
        </w:rPr>
        <w:t>6.4评标程序</w:t>
      </w:r>
      <w:bookmarkEnd w:id="882"/>
      <w:bookmarkEnd w:id="878"/>
      <w:bookmarkEnd w:id="879"/>
      <w:bookmarkEnd w:id="880"/>
      <w:bookmarkEnd w:id="881"/>
    </w:p>
    <w:p>
      <w:pPr>
        <w:spacing w:line="400" w:lineRule="exact"/>
        <w:ind w:firstLine="359" w:firstLineChars="171"/>
      </w:pPr>
      <w:r>
        <w:rPr>
          <w:rFonts w:hint="eastAsia"/>
        </w:rPr>
        <w:t>评标委员会按照下列工作程序评标：</w:t>
      </w:r>
    </w:p>
    <w:p>
      <w:pPr>
        <w:spacing w:line="400" w:lineRule="exact"/>
        <w:ind w:firstLine="359" w:firstLineChars="171"/>
      </w:pPr>
      <w:r>
        <w:rPr>
          <w:rFonts w:hint="eastAsia"/>
        </w:rPr>
        <w:t>（一）符合性审查</w:t>
      </w:r>
    </w:p>
    <w:p>
      <w:pPr>
        <w:spacing w:line="400" w:lineRule="exact"/>
        <w:ind w:firstLine="359" w:firstLineChars="171"/>
      </w:pPr>
      <w:r>
        <w:rPr>
          <w:rFonts w:hint="eastAsia"/>
        </w:rPr>
        <w:t>评标委员会依据法律法规和招标文件的规定，对符合资格的投标人的投标文件进行符合性审查，以确定其是否满足招标文件的实质性要求。</w:t>
      </w:r>
    </w:p>
    <w:p>
      <w:pPr>
        <w:spacing w:line="400" w:lineRule="exact"/>
        <w:ind w:firstLine="420" w:firstLineChars="200"/>
        <w:rPr>
          <w:rFonts w:eastAsia="宋体"/>
        </w:rPr>
      </w:pPr>
      <w:r>
        <w:rPr>
          <w:rFonts w:hint="eastAsia"/>
        </w:rPr>
        <w:t>符合性审查中，</w:t>
      </w:r>
      <w:r>
        <w:rPr>
          <w:rFonts w:eastAsia="宋体"/>
        </w:rPr>
        <w:t>对于投标文件中含义不明确、同类问题表述不一致或者有明显文字和计算错误的内容，评标委员会以书面形式要求投标人作出必要的澄清、说明或者补正。</w:t>
      </w:r>
    </w:p>
    <w:p>
      <w:pPr>
        <w:spacing w:line="400" w:lineRule="exact"/>
        <w:ind w:firstLine="420" w:firstLineChars="200"/>
      </w:pPr>
      <w:r>
        <w:rPr>
          <w:rFonts w:hint="eastAsia"/>
        </w:rPr>
        <w:t>（二）比较与评价</w:t>
      </w:r>
    </w:p>
    <w:p>
      <w:pPr>
        <w:spacing w:line="400" w:lineRule="exact"/>
        <w:ind w:firstLine="420" w:firstLineChars="200"/>
      </w:pPr>
      <w:r>
        <w:rPr>
          <w:rFonts w:hint="eastAsia"/>
        </w:rPr>
        <w:t>评标委员会按照招标文件中规定的评标方法和标准，对符合性审查合格的投标文件进行商务和技术评估，综合比较与评价，并推荐中标候选人。</w:t>
      </w:r>
    </w:p>
    <w:p>
      <w:pPr>
        <w:spacing w:line="400" w:lineRule="exact"/>
        <w:ind w:firstLine="420" w:firstLineChars="200"/>
      </w:pPr>
      <w:r>
        <w:rPr>
          <w:rFonts w:hint="eastAsia"/>
        </w:rPr>
        <w:t>（三）编写评标报告</w:t>
      </w:r>
    </w:p>
    <w:p>
      <w:pPr>
        <w:spacing w:line="400" w:lineRule="exact"/>
        <w:ind w:firstLine="420" w:firstLineChars="200"/>
      </w:pPr>
      <w:r>
        <w:rPr>
          <w:rFonts w:hint="eastAsia"/>
        </w:rPr>
        <w:t>评标委员会根据全体评标成员签字的原始评标记录和评标结果编写评标报告。</w:t>
      </w:r>
    </w:p>
    <w:p>
      <w:pPr>
        <w:pStyle w:val="Heading3"/>
      </w:pPr>
      <w:bookmarkStart w:id="883" w:name="_Toc247085723"/>
      <w:bookmarkStart w:id="884" w:name="_Toc152045565"/>
      <w:bookmarkStart w:id="885" w:name="_Toc152042341"/>
      <w:bookmarkStart w:id="886" w:name="_Toc246996209"/>
      <w:bookmarkStart w:id="887" w:name="_Toc246996952"/>
      <w:bookmarkStart w:id="888" w:name="_Toc144974533"/>
      <w:bookmarkStart w:id="889" w:name="_Toc296602454"/>
      <w:bookmarkStart w:id="890" w:name="_Toc179632583"/>
      <w:bookmarkStart w:id="891" w:name="_Toc15797"/>
      <w:bookmarkStart w:id="892" w:name="_Toc683"/>
      <w:bookmarkStart w:id="893" w:name="_Toc24533"/>
      <w:bookmarkStart w:id="894" w:name="_Toc1966"/>
      <w:bookmarkStart w:id="895" w:name="_Toc256000123"/>
      <w:r>
        <w:rPr>
          <w:rFonts w:hint="eastAsia"/>
        </w:rPr>
        <w:t>6.3 评标</w:t>
      </w:r>
      <w:bookmarkEnd w:id="883"/>
      <w:bookmarkEnd w:id="884"/>
      <w:bookmarkEnd w:id="885"/>
      <w:bookmarkEnd w:id="886"/>
      <w:bookmarkEnd w:id="887"/>
      <w:bookmarkEnd w:id="888"/>
      <w:bookmarkEnd w:id="889"/>
      <w:bookmarkEnd w:id="890"/>
      <w:r>
        <w:rPr>
          <w:rFonts w:hint="eastAsia"/>
        </w:rPr>
        <w:t>方法</w:t>
      </w:r>
      <w:bookmarkEnd w:id="895"/>
      <w:bookmarkEnd w:id="891"/>
      <w:bookmarkEnd w:id="892"/>
      <w:bookmarkEnd w:id="893"/>
      <w:bookmarkEnd w:id="894"/>
    </w:p>
    <w:p>
      <w:pPr>
        <w:spacing w:line="400" w:lineRule="exact"/>
        <w:ind w:firstLine="420" w:firstLineChars="200"/>
      </w:pPr>
      <w:r>
        <w:rPr>
          <w:rFonts w:hint="eastAsia"/>
        </w:rPr>
        <w:t>评标委员会按照第三章“资格审查、评标和定标”规定的方法、评审因素、标准和程序对投标文件进行评审。第三章“资格审查、评标和定标”没有规定的方法、评审因素和标准，不作为评标依据。</w:t>
      </w:r>
    </w:p>
    <w:p>
      <w:pPr>
        <w:pStyle w:val="Heading3"/>
        <w:rPr>
          <w:rFonts w:ascii="Calibri" w:eastAsia="宋体"/>
        </w:rPr>
      </w:pPr>
      <w:bookmarkStart w:id="896" w:name="_Toc7875"/>
      <w:bookmarkStart w:id="897" w:name="_Toc18957"/>
      <w:bookmarkStart w:id="898" w:name="_Toc29466"/>
      <w:bookmarkStart w:id="899" w:name="_Toc18927"/>
      <w:bookmarkStart w:id="900" w:name="_Toc256000124"/>
      <w:r>
        <w:rPr>
          <w:rFonts w:hint="eastAsia"/>
        </w:rPr>
        <w:t>6.4</w:t>
      </w:r>
      <w:r>
        <w:rPr>
          <w:rFonts w:ascii="Calibri" w:eastAsia="宋体" w:hint="eastAsia"/>
        </w:rPr>
        <w:t>与</w:t>
      </w:r>
      <w:r>
        <w:rPr>
          <w:rFonts w:hint="eastAsia"/>
        </w:rPr>
        <w:t>采购代理机构</w:t>
      </w:r>
      <w:r>
        <w:rPr>
          <w:rFonts w:ascii="Calibri" w:eastAsia="宋体" w:hint="eastAsia"/>
        </w:rPr>
        <w:t>和采购人的接触</w:t>
      </w:r>
      <w:bookmarkEnd w:id="900"/>
      <w:bookmarkEnd w:id="896"/>
      <w:bookmarkEnd w:id="897"/>
      <w:bookmarkEnd w:id="898"/>
      <w:bookmarkEnd w:id="899"/>
    </w:p>
    <w:p>
      <w:pPr>
        <w:spacing w:line="400" w:lineRule="exact"/>
        <w:ind w:firstLine="420" w:firstLineChars="200"/>
      </w:pPr>
      <w:r>
        <w:rPr>
          <w:rFonts w:hint="eastAsia"/>
        </w:rPr>
        <w:t>投标人试图对采购人、采购代理机构和评标委员会的评标或授予合同的决定进行影响，都可能导致其投标无效。</w:t>
      </w:r>
    </w:p>
    <w:p>
      <w:pPr>
        <w:pStyle w:val="Heading2"/>
      </w:pPr>
      <w:bookmarkStart w:id="901" w:name="_Toc152042342"/>
      <w:bookmarkStart w:id="902" w:name="_Toc24225"/>
      <w:bookmarkStart w:id="903" w:name="_Toc296602455"/>
      <w:bookmarkStart w:id="904" w:name="_Toc246996210"/>
      <w:bookmarkStart w:id="905" w:name="_Toc7656"/>
      <w:bookmarkStart w:id="906" w:name="_Toc144974534"/>
      <w:bookmarkStart w:id="907" w:name="_Toc3"/>
      <w:bookmarkStart w:id="908" w:name="_Toc22086"/>
      <w:bookmarkStart w:id="909" w:name="_Toc152045566"/>
      <w:bookmarkStart w:id="910" w:name="_Toc246996953"/>
      <w:bookmarkStart w:id="911" w:name="_Toc247085724"/>
      <w:bookmarkStart w:id="912" w:name="_Toc179632584"/>
      <w:bookmarkStart w:id="913" w:name="_Toc256000125"/>
      <w:r>
        <w:rPr>
          <w:rFonts w:hint="eastAsia"/>
        </w:rPr>
        <w:t>7. 合同授予</w:t>
      </w:r>
      <w:bookmarkEnd w:id="913"/>
      <w:bookmarkEnd w:id="901"/>
      <w:bookmarkEnd w:id="902"/>
      <w:bookmarkEnd w:id="903"/>
      <w:bookmarkEnd w:id="904"/>
      <w:bookmarkEnd w:id="905"/>
      <w:bookmarkEnd w:id="906"/>
      <w:bookmarkEnd w:id="907"/>
      <w:bookmarkEnd w:id="908"/>
      <w:bookmarkEnd w:id="909"/>
      <w:bookmarkEnd w:id="910"/>
      <w:bookmarkEnd w:id="911"/>
      <w:bookmarkEnd w:id="912"/>
    </w:p>
    <w:p>
      <w:pPr>
        <w:pStyle w:val="Heading3"/>
      </w:pPr>
      <w:bookmarkStart w:id="914" w:name="_Toc152042343"/>
      <w:bookmarkStart w:id="915" w:name="_Toc18333"/>
      <w:bookmarkStart w:id="916" w:name="_Toc19479"/>
      <w:bookmarkStart w:id="917" w:name="_Toc246996211"/>
      <w:bookmarkStart w:id="918" w:name="_Toc296602456"/>
      <w:bookmarkStart w:id="919" w:name="_Toc29192"/>
      <w:bookmarkStart w:id="920" w:name="_Toc14106"/>
      <w:bookmarkStart w:id="921" w:name="_Toc144974535"/>
      <w:bookmarkStart w:id="922" w:name="_Toc152045567"/>
      <w:bookmarkStart w:id="923" w:name="_Toc246996954"/>
      <w:bookmarkStart w:id="924" w:name="_Toc179632585"/>
      <w:bookmarkStart w:id="925" w:name="_Toc247085725"/>
      <w:bookmarkStart w:id="926" w:name="_Toc256000126"/>
      <w:r>
        <w:rPr>
          <w:rFonts w:hint="eastAsia"/>
        </w:rPr>
        <w:t>7.1 确定中标人</w:t>
      </w:r>
      <w:bookmarkEnd w:id="926"/>
      <w:bookmarkEnd w:id="914"/>
      <w:bookmarkEnd w:id="915"/>
      <w:bookmarkEnd w:id="916"/>
      <w:bookmarkEnd w:id="917"/>
      <w:bookmarkEnd w:id="918"/>
      <w:bookmarkEnd w:id="919"/>
      <w:bookmarkEnd w:id="920"/>
      <w:bookmarkEnd w:id="921"/>
      <w:bookmarkEnd w:id="922"/>
      <w:bookmarkEnd w:id="923"/>
      <w:bookmarkEnd w:id="924"/>
      <w:bookmarkEnd w:id="925"/>
    </w:p>
    <w:p>
      <w:pPr>
        <w:spacing w:line="400" w:lineRule="exact"/>
        <w:ind w:firstLine="420" w:firstLineChars="200"/>
      </w:pPr>
      <w:r>
        <w:rPr>
          <w:rFonts w:hint="eastAsia"/>
        </w:rPr>
        <w:t>本项目确定中标人的程序见招标文件第三章“资格审查、评标和定标”。</w:t>
      </w:r>
    </w:p>
    <w:p>
      <w:pPr>
        <w:pStyle w:val="Heading3"/>
      </w:pPr>
      <w:bookmarkStart w:id="927" w:name="_Toc26338"/>
      <w:bookmarkStart w:id="928" w:name="_Toc31377"/>
      <w:bookmarkStart w:id="929" w:name="_Toc27356"/>
      <w:bookmarkStart w:id="930" w:name="_Toc12082"/>
      <w:bookmarkStart w:id="931" w:name="_Toc296602457"/>
      <w:bookmarkStart w:id="932" w:name="_Toc256000127"/>
      <w:r>
        <w:rPr>
          <w:rFonts w:hint="eastAsia"/>
        </w:rPr>
        <w:t>7.2 公示中标结果</w:t>
      </w:r>
      <w:bookmarkEnd w:id="932"/>
      <w:bookmarkEnd w:id="927"/>
      <w:bookmarkEnd w:id="928"/>
      <w:bookmarkEnd w:id="929"/>
      <w:bookmarkEnd w:id="930"/>
      <w:bookmarkEnd w:id="931"/>
    </w:p>
    <w:p>
      <w:pPr>
        <w:spacing w:line="400" w:lineRule="exact"/>
        <w:ind w:firstLine="420" w:firstLineChars="200"/>
      </w:pPr>
      <w:r>
        <w:rPr>
          <w:rFonts w:hint="eastAsia"/>
        </w:rPr>
        <w:t>7.2.1采购代理机构在发出中标通知书之前，将中标结果通过政府采购指定网站进行公示，涉及国家秘密和商业秘密的内容除外。招标文件随中标结果同时公告，中标结果公告前采购文件已公告的，不再重复公告。</w:t>
      </w:r>
    </w:p>
    <w:p>
      <w:pPr>
        <w:spacing w:line="400" w:lineRule="exact"/>
        <w:ind w:firstLine="420" w:firstLineChars="200"/>
      </w:pPr>
      <w:r>
        <w:rPr>
          <w:rFonts w:hint="eastAsia"/>
        </w:rPr>
        <w:t>7.2.2中标结果公示应当包括以下内容：</w:t>
      </w:r>
    </w:p>
    <w:p>
      <w:pPr>
        <w:spacing w:line="400" w:lineRule="exact"/>
        <w:ind w:firstLine="420" w:firstLineChars="200"/>
      </w:pPr>
      <w:r>
        <w:rPr>
          <w:rFonts w:hint="eastAsia"/>
        </w:rPr>
        <w:t>（1）投标供应商名称、资格响应文件和报价；</w:t>
      </w:r>
    </w:p>
    <w:p>
      <w:pPr>
        <w:spacing w:line="400" w:lineRule="exact"/>
        <w:ind w:firstLine="420" w:firstLineChars="200"/>
      </w:pPr>
      <w:r>
        <w:rPr>
          <w:rFonts w:hint="eastAsia"/>
        </w:rPr>
        <w:t>（2）项目评审专家名单以及中标候选人名单；</w:t>
      </w:r>
    </w:p>
    <w:p>
      <w:pPr>
        <w:spacing w:line="400" w:lineRule="exact"/>
        <w:ind w:firstLine="420" w:firstLineChars="200"/>
      </w:pPr>
      <w:r>
        <w:rPr>
          <w:rFonts w:hint="eastAsia"/>
        </w:rPr>
        <w:t>（3）确定的中标人的名单；</w:t>
      </w:r>
    </w:p>
    <w:p>
      <w:pPr>
        <w:spacing w:line="400" w:lineRule="exact"/>
        <w:ind w:firstLine="420" w:firstLineChars="200"/>
      </w:pPr>
      <w:r>
        <w:rPr>
          <w:rFonts w:hint="eastAsia"/>
        </w:rPr>
        <w:t>（4）法律、法规和规章规定的其他内容。</w:t>
      </w:r>
    </w:p>
    <w:p>
      <w:pPr>
        <w:spacing w:line="400" w:lineRule="exact"/>
        <w:ind w:firstLine="420" w:firstLineChars="200"/>
      </w:pPr>
      <w:r>
        <w:rPr>
          <w:rFonts w:hint="eastAsia"/>
        </w:rPr>
        <w:t>7.2.3中标结果公示时间不少于三日。</w:t>
      </w:r>
    </w:p>
    <w:p>
      <w:pPr>
        <w:pStyle w:val="Heading3"/>
        <w:numPr>
          <w:ilvl w:val="0"/>
          <w:numId w:val="0"/>
        </w:numPr>
        <w:rPr>
          <w:rFonts w:ascii="Calibri" w:eastAsia="宋体"/>
        </w:rPr>
      </w:pPr>
      <w:bookmarkStart w:id="933" w:name="_Toc20590"/>
      <w:bookmarkStart w:id="934" w:name="_Toc12153"/>
      <w:bookmarkStart w:id="935" w:name="_Toc10275"/>
      <w:bookmarkStart w:id="936" w:name="_Toc256000128"/>
      <w:r>
        <w:rPr>
          <w:rFonts w:hint="eastAsia"/>
        </w:rPr>
        <w:t>7.3</w:t>
      </w:r>
      <w:r>
        <w:rPr>
          <w:rFonts w:ascii="Calibri" w:eastAsia="宋体" w:hint="eastAsia"/>
        </w:rPr>
        <w:t>中标通知书</w:t>
      </w:r>
      <w:bookmarkEnd w:id="936"/>
      <w:bookmarkEnd w:id="933"/>
      <w:bookmarkEnd w:id="934"/>
      <w:bookmarkEnd w:id="935"/>
    </w:p>
    <w:p>
      <w:pPr>
        <w:spacing w:line="400" w:lineRule="exact"/>
        <w:ind w:firstLine="420" w:firstLineChars="200"/>
      </w:pPr>
      <w:r>
        <w:rPr>
          <w:rFonts w:hint="eastAsia"/>
        </w:rPr>
        <w:t>公示期内有异议的，异议人应当在公示期满前向采购代理机构提出。公示期满无异议或者异议不成立的，采购代理机构应当发出中标通知书。中标通知书是合同的组成部分。</w:t>
      </w:r>
    </w:p>
    <w:p>
      <w:pPr>
        <w:pStyle w:val="Heading3"/>
      </w:pPr>
      <w:bookmarkStart w:id="937" w:name="_Toc246996213"/>
      <w:bookmarkStart w:id="938" w:name="_Toc246996956"/>
      <w:bookmarkStart w:id="939" w:name="_Toc144974537"/>
      <w:bookmarkStart w:id="940" w:name="_Toc152042345"/>
      <w:bookmarkStart w:id="941" w:name="_Toc23651"/>
      <w:bookmarkStart w:id="942" w:name="_Toc26696"/>
      <w:bookmarkStart w:id="943" w:name="_Toc247085727"/>
      <w:bookmarkStart w:id="944" w:name="_Toc152045569"/>
      <w:bookmarkStart w:id="945" w:name="_Toc7852"/>
      <w:bookmarkStart w:id="946" w:name="_Toc179632587"/>
      <w:bookmarkStart w:id="947" w:name="_Toc21208"/>
      <w:bookmarkStart w:id="948" w:name="_Toc296602459"/>
      <w:bookmarkStart w:id="949" w:name="_Toc256000129"/>
      <w:r>
        <w:rPr>
          <w:rFonts w:hint="eastAsia"/>
        </w:rPr>
        <w:t>7.4 履约担保</w:t>
      </w:r>
      <w:bookmarkEnd w:id="949"/>
      <w:bookmarkEnd w:id="937"/>
      <w:bookmarkEnd w:id="938"/>
      <w:bookmarkEnd w:id="939"/>
      <w:bookmarkEnd w:id="940"/>
      <w:bookmarkEnd w:id="941"/>
      <w:bookmarkEnd w:id="942"/>
      <w:bookmarkEnd w:id="943"/>
      <w:bookmarkEnd w:id="944"/>
      <w:bookmarkEnd w:id="945"/>
      <w:bookmarkEnd w:id="946"/>
      <w:bookmarkEnd w:id="947"/>
      <w:bookmarkEnd w:id="948"/>
    </w:p>
    <w:p>
      <w:pPr>
        <w:spacing w:line="400" w:lineRule="exact"/>
        <w:ind w:firstLine="420" w:firstLineChars="200"/>
      </w:pPr>
      <w:r>
        <w:rPr>
          <w:rFonts w:hint="eastAsia"/>
        </w:rPr>
        <w:t>7.4.1在签订合同前，中标人应按</w:t>
      </w:r>
      <w:r>
        <w:rPr>
          <w:rFonts w:eastAsia="黑体" w:hint="eastAsia"/>
          <w:b/>
        </w:rPr>
        <w:t>投标资料表</w:t>
      </w:r>
      <w:r>
        <w:rPr>
          <w:rFonts w:hint="eastAsia"/>
        </w:rPr>
        <w:t>规定的担保形式或者事先经过采购人书面认可的履约担保格式向采购人提交履约担保。除</w:t>
      </w:r>
      <w:r>
        <w:rPr>
          <w:rFonts w:eastAsia="黑体" w:hint="eastAsia"/>
          <w:b/>
        </w:rPr>
        <w:t>投标资料表</w:t>
      </w:r>
      <w:r>
        <w:rPr>
          <w:rFonts w:hint="eastAsia"/>
        </w:rPr>
        <w:t>另有规定外，履约担保金额为中标合同金额的10%。</w:t>
      </w:r>
    </w:p>
    <w:p>
      <w:pPr>
        <w:spacing w:line="400" w:lineRule="exact"/>
        <w:ind w:firstLine="420" w:firstLineChars="200"/>
      </w:pPr>
      <w:r>
        <w:rPr>
          <w:rFonts w:hint="eastAsia"/>
        </w:rPr>
        <w:t>7.4.2 中标人不能按本章第7.4.1项要求提交履约担保的，视为放弃中标，其投标保证金不予退还，给采购人造成的损失超过投标保证金数额的，中标人还应当对超过部分予以赔偿。</w:t>
      </w:r>
    </w:p>
    <w:p>
      <w:pPr>
        <w:pStyle w:val="Heading3"/>
      </w:pPr>
      <w:bookmarkStart w:id="950" w:name="_Toc26106"/>
      <w:bookmarkStart w:id="951" w:name="_Toc179632588"/>
      <w:bookmarkStart w:id="952" w:name="_Toc152045570"/>
      <w:bookmarkStart w:id="953" w:name="_Toc13530"/>
      <w:bookmarkStart w:id="954" w:name="_Toc152042346"/>
      <w:bookmarkStart w:id="955" w:name="_Toc296602460"/>
      <w:bookmarkStart w:id="956" w:name="_Toc247085728"/>
      <w:bookmarkStart w:id="957" w:name="_Toc4427"/>
      <w:bookmarkStart w:id="958" w:name="_Toc246996957"/>
      <w:bookmarkStart w:id="959" w:name="_Toc246996214"/>
      <w:bookmarkStart w:id="960" w:name="_Toc144974538"/>
      <w:bookmarkStart w:id="961" w:name="_Toc10595"/>
      <w:bookmarkStart w:id="962" w:name="_Toc256000130"/>
      <w:r>
        <w:rPr>
          <w:rFonts w:hint="eastAsia"/>
        </w:rPr>
        <w:t>7.5 签订合同</w:t>
      </w:r>
      <w:bookmarkEnd w:id="962"/>
      <w:bookmarkEnd w:id="950"/>
      <w:bookmarkEnd w:id="951"/>
      <w:bookmarkEnd w:id="952"/>
      <w:bookmarkEnd w:id="953"/>
      <w:bookmarkEnd w:id="954"/>
      <w:bookmarkEnd w:id="955"/>
      <w:bookmarkEnd w:id="956"/>
      <w:bookmarkEnd w:id="957"/>
      <w:bookmarkEnd w:id="958"/>
      <w:bookmarkEnd w:id="959"/>
      <w:bookmarkEnd w:id="960"/>
      <w:bookmarkEnd w:id="961"/>
    </w:p>
    <w:p>
      <w:pPr>
        <w:spacing w:line="400" w:lineRule="exact"/>
        <w:ind w:firstLine="420" w:firstLineChars="200"/>
      </w:pPr>
      <w:r>
        <w:rPr>
          <w:rFonts w:hint="eastAsia"/>
        </w:rPr>
        <w:t>7.5.1中标通知书发出后，采购人不得违法改变中标结果，中标人无正当理由不得放弃中标。</w:t>
      </w:r>
    </w:p>
    <w:p>
      <w:pPr>
        <w:spacing w:line="400" w:lineRule="exact"/>
        <w:ind w:firstLine="420" w:firstLineChars="200"/>
      </w:pPr>
      <w:r>
        <w:rPr>
          <w:rFonts w:hint="eastAsia"/>
        </w:rPr>
        <w:t>7.5.2采购人与供应商应当自中标或者成交通知书发出之日起十个工作日内按照采购文件确定的事项签订政府采购合同。采购合同的实质性内容应当符合采购文件的规定。政府采购合同未约定或者约定不明的事项，采购人可以与供应商协商签订补充协议。补充协议不得变更采购合同的实质性内容。</w:t>
      </w:r>
    </w:p>
    <w:p>
      <w:pPr>
        <w:spacing w:line="400" w:lineRule="exact"/>
        <w:ind w:firstLine="420" w:firstLineChars="200"/>
      </w:pPr>
      <w:r>
        <w:rPr>
          <w:rFonts w:hint="eastAsia"/>
        </w:rPr>
        <w:t>7.5.3采购人应当自政府采购合同签订之日起十日内，办理政府采购合同备案事宜。</w:t>
      </w:r>
    </w:p>
    <w:p>
      <w:pPr>
        <w:spacing w:line="400" w:lineRule="exact"/>
        <w:ind w:firstLine="420" w:firstLineChars="200"/>
      </w:pPr>
      <w:r>
        <w:rPr>
          <w:rFonts w:hint="eastAsia"/>
        </w:rPr>
        <w:t>7.5.4 合同签订后5个工作日内，中标人须将合同副本（合同复印件加盖中标人公章，原件核验）送采购代理机构存档。</w:t>
      </w:r>
    </w:p>
    <w:p>
      <w:pPr>
        <w:pStyle w:val="Heading3"/>
        <w:spacing w:line="400" w:lineRule="exact"/>
      </w:pPr>
      <w:bookmarkStart w:id="963" w:name="_Toc2393"/>
      <w:bookmarkStart w:id="964" w:name="_Toc4235"/>
      <w:bookmarkStart w:id="965" w:name="_Toc14872"/>
      <w:bookmarkStart w:id="966" w:name="_Toc14148"/>
      <w:bookmarkStart w:id="967" w:name="_Toc256000131"/>
      <w:r>
        <w:rPr>
          <w:rFonts w:hint="eastAsia"/>
        </w:rPr>
        <w:t>7.6合同的履行</w:t>
      </w:r>
      <w:bookmarkEnd w:id="967"/>
      <w:bookmarkEnd w:id="963"/>
      <w:bookmarkEnd w:id="964"/>
      <w:bookmarkEnd w:id="965"/>
      <w:bookmarkEnd w:id="966"/>
    </w:p>
    <w:p>
      <w:pPr>
        <w:spacing w:line="400" w:lineRule="exact"/>
        <w:ind w:firstLine="420" w:firstLineChars="200"/>
      </w:pPr>
      <w:r>
        <w:rPr>
          <w:rFonts w:hint="eastAsia"/>
        </w:rPr>
        <w:t>7.6.1政府采购合同订立后，合同各方不得擅自变更、中止或者终止合同。政府采购合同需要变更的，采购人应将有关合同变更内容，以书面形式报政府采购主管部门备案；因特殊情况需要中止或终止合同的，采购人应将中止或终止合同的理由以及相应措施，以书面形式报政府采购主管部门备案。</w:t>
      </w:r>
    </w:p>
    <w:p>
      <w:pPr>
        <w:spacing w:line="400" w:lineRule="exact"/>
        <w:ind w:firstLine="420" w:firstLineChars="200"/>
      </w:pPr>
      <w:r>
        <w:rPr>
          <w:rFonts w:hint="eastAsia"/>
        </w:rPr>
        <w:t>7.6.2政府采购合同履行中，采购人增加采购与合同标的相同的货物、工程或者服务的，经主管部门批准，可以与供应商协商签订补充采购合同，补充采购合同的金额不得超过原合同金额的百分之十，且合同总金额不得超过原计划数额。</w:t>
      </w:r>
    </w:p>
    <w:p>
      <w:pPr>
        <w:pStyle w:val="Heading3"/>
        <w:numPr>
          <w:ilvl w:val="0"/>
          <w:numId w:val="0"/>
        </w:numPr>
        <w:rPr>
          <w:rFonts w:ascii="Calibri" w:eastAsia="宋体"/>
        </w:rPr>
      </w:pPr>
      <w:bookmarkStart w:id="968" w:name="_Toc16404"/>
      <w:bookmarkStart w:id="969" w:name="_Toc16296"/>
      <w:bookmarkStart w:id="970" w:name="_Toc14026"/>
      <w:bookmarkStart w:id="971" w:name="_Toc478"/>
      <w:bookmarkStart w:id="972" w:name="_Toc256000132"/>
      <w:r>
        <w:rPr>
          <w:rFonts w:hint="eastAsia"/>
        </w:rPr>
        <w:t>7.7</w:t>
      </w:r>
      <w:r>
        <w:rPr>
          <w:rFonts w:ascii="Calibri" w:eastAsia="宋体" w:hint="eastAsia"/>
        </w:rPr>
        <w:t>招标代理服务费</w:t>
      </w:r>
      <w:bookmarkEnd w:id="972"/>
      <w:bookmarkEnd w:id="968"/>
      <w:bookmarkEnd w:id="969"/>
      <w:bookmarkEnd w:id="970"/>
      <w:bookmarkEnd w:id="971"/>
    </w:p>
    <w:p>
      <w:pPr>
        <w:numPr>
          <w:ilvl w:val="0"/>
          <w:numId w:val="0"/>
        </w:numPr>
        <w:spacing w:line="400" w:lineRule="exact"/>
        <w:ind w:firstLine="420" w:firstLineChars="200"/>
      </w:pPr>
      <w:bookmarkStart w:id="973" w:name="_Ref179619574"/>
      <w:r>
        <w:rPr>
          <w:rFonts w:hint="eastAsia"/>
        </w:rPr>
        <w:t>领取中标通知书前，中标人应按照招标文件</w:t>
      </w:r>
      <w:r>
        <w:rPr>
          <w:rFonts w:eastAsia="黑体" w:hint="eastAsia"/>
        </w:rPr>
        <w:t>投标资料表</w:t>
      </w:r>
      <w:r>
        <w:rPr>
          <w:rFonts w:hint="eastAsia"/>
        </w:rPr>
        <w:t>中的规定交纳招标代理服务费。如果中标人不按照招标文件规定交纳招标代理服务费，将不予退还其投标保证金。</w:t>
      </w:r>
      <w:bookmarkEnd w:id="973"/>
    </w:p>
    <w:p>
      <w:pPr>
        <w:pStyle w:val="Heading2"/>
        <w:spacing w:line="400" w:lineRule="exact"/>
      </w:pPr>
      <w:bookmarkStart w:id="974" w:name="_Toc21521"/>
      <w:bookmarkStart w:id="975" w:name="_Toc22407"/>
      <w:bookmarkStart w:id="976" w:name="_Toc25526"/>
      <w:bookmarkStart w:id="977" w:name="_Toc6657"/>
      <w:bookmarkStart w:id="978" w:name="_Toc256000133"/>
      <w:r>
        <w:rPr>
          <w:rFonts w:hint="eastAsia"/>
        </w:rPr>
        <w:t>8.政府采购政策</w:t>
      </w:r>
      <w:bookmarkEnd w:id="978"/>
      <w:bookmarkEnd w:id="974"/>
      <w:bookmarkEnd w:id="975"/>
      <w:bookmarkEnd w:id="976"/>
      <w:bookmarkEnd w:id="977"/>
    </w:p>
    <w:p>
      <w:pPr>
        <w:pStyle w:val="Heading3"/>
        <w:numPr>
          <w:ilvl w:val="0"/>
          <w:numId w:val="0"/>
        </w:numPr>
        <w:rPr>
          <w:rFonts w:ascii="Calibri" w:eastAsia="宋体"/>
        </w:rPr>
      </w:pPr>
      <w:bookmarkStart w:id="979" w:name="_Toc16267"/>
      <w:bookmarkStart w:id="980" w:name="_Toc2329"/>
      <w:bookmarkStart w:id="981" w:name="_Toc2406"/>
      <w:bookmarkStart w:id="982" w:name="_Toc28928"/>
      <w:bookmarkStart w:id="983" w:name="_Toc256000134"/>
      <w:r>
        <w:rPr>
          <w:rFonts w:hint="eastAsia"/>
        </w:rPr>
        <w:t>8.1</w:t>
      </w:r>
      <w:r>
        <w:rPr>
          <w:rFonts w:ascii="Calibri" w:eastAsia="宋体" w:hint="eastAsia"/>
        </w:rPr>
        <w:t>节能产品政府采购</w:t>
      </w:r>
      <w:bookmarkEnd w:id="983"/>
      <w:bookmarkEnd w:id="979"/>
      <w:bookmarkEnd w:id="980"/>
      <w:bookmarkEnd w:id="981"/>
      <w:bookmarkEnd w:id="982"/>
    </w:p>
    <w:p>
      <w:pPr>
        <w:spacing w:line="400" w:lineRule="exact"/>
        <w:ind w:firstLine="420" w:firstLineChars="200"/>
      </w:pPr>
      <w:r>
        <w:t>根据《国务院办公厅关于建立政府强制采购节能产品制度的通知》（国办发〔2007〕51号）、财政部、发展改革委发布的《节能产品政府采购实施意见》（财库〔2004〕185号）和财政部、发展改革委、生态环境部、市场监管总局《关于调整优化节能产品、环境标志产品政府采购执行机制的通知》（财库〔2019〕9号）的规定，若投标产品纳入“节能产品政府采购品目清单”的，提供处于有效期之内的的中国节能产品认证证书复印件及“节能产品政府采购品目清单”中投标产品所在清单页。节能产品政府采购品目清单以</w:t>
      </w:r>
      <w:r>
        <w:rPr>
          <w:color w:val="333333"/>
        </w:rPr>
        <w:t>财政部、发展改革委、生态环境部等部门适时调整发布的品目清单为准</w:t>
      </w:r>
      <w:r>
        <w:t>。</w:t>
      </w:r>
    </w:p>
    <w:p>
      <w:pPr>
        <w:pStyle w:val="Heading3"/>
        <w:numPr>
          <w:ilvl w:val="0"/>
          <w:numId w:val="0"/>
        </w:numPr>
        <w:rPr>
          <w:rFonts w:ascii="Calibri" w:eastAsia="宋体"/>
        </w:rPr>
      </w:pPr>
      <w:bookmarkStart w:id="984" w:name="_Toc8092"/>
      <w:bookmarkStart w:id="985" w:name="_Toc3438"/>
      <w:bookmarkStart w:id="986" w:name="_Toc17964"/>
      <w:bookmarkStart w:id="987" w:name="_Toc15540"/>
      <w:bookmarkStart w:id="988" w:name="_Toc256000135"/>
      <w:r>
        <w:rPr>
          <w:rFonts w:hint="eastAsia"/>
        </w:rPr>
        <w:t>8.2</w:t>
      </w:r>
      <w:r>
        <w:rPr>
          <w:rFonts w:ascii="Calibri" w:eastAsia="宋体" w:hint="eastAsia"/>
        </w:rPr>
        <w:t>环境标志产品政府采购</w:t>
      </w:r>
      <w:bookmarkEnd w:id="988"/>
      <w:bookmarkEnd w:id="984"/>
      <w:bookmarkEnd w:id="985"/>
      <w:bookmarkEnd w:id="986"/>
      <w:bookmarkEnd w:id="987"/>
    </w:p>
    <w:p>
      <w:pPr>
        <w:numPr>
          <w:ilvl w:val="0"/>
          <w:numId w:val="0"/>
        </w:numPr>
        <w:spacing w:line="400" w:lineRule="exact"/>
        <w:ind w:firstLine="420" w:firstLineChars="200"/>
      </w:pPr>
      <w:r>
        <w:t>根据《财政部、国家环保总局联合印发〈关于环境标志产品政府采购实施意见〉》（财库〔2006〕90号）和财政部、发展改革委、生态环境部、市场监管总局《关于调整优化节能产品、环境标志产品政府采购执行机制的通知》（财库〔2019〕9号）的规定，若投标产品纳入“环境标志产品政府采购品目清单”的，提供处于有效期之内的中国环境标志产品认证证书复印件及“环境标志产品政府采购品目清单”中投标产品所在清单页。环境标志产品政府采购品目清单以</w:t>
      </w:r>
      <w:r>
        <w:rPr>
          <w:color w:val="333333"/>
        </w:rPr>
        <w:t>财政部、发展改革委、生态环境部等部门适时调整发布的品目清单为准</w:t>
      </w:r>
      <w:r>
        <w:t>。</w:t>
      </w:r>
    </w:p>
    <w:p>
      <w:pPr>
        <w:pStyle w:val="Heading3"/>
        <w:numPr>
          <w:ilvl w:val="0"/>
          <w:numId w:val="0"/>
        </w:numPr>
        <w:rPr>
          <w:rFonts w:ascii="Calibri" w:eastAsia="宋体"/>
        </w:rPr>
      </w:pPr>
      <w:bookmarkStart w:id="989" w:name="_Toc22051"/>
      <w:bookmarkStart w:id="990" w:name="_Toc9376"/>
      <w:bookmarkStart w:id="991" w:name="_Toc5387"/>
      <w:bookmarkStart w:id="992" w:name="_Toc11463"/>
      <w:bookmarkStart w:id="993" w:name="_Toc256000136"/>
      <w:r>
        <w:rPr>
          <w:rFonts w:hint="eastAsia"/>
        </w:rPr>
        <w:t>8.3小微</w:t>
      </w:r>
      <w:r>
        <w:rPr>
          <w:rFonts w:ascii="Calibri" w:eastAsia="宋体" w:hint="eastAsia"/>
        </w:rPr>
        <w:t>企业评审价格扣除</w:t>
      </w:r>
      <w:bookmarkEnd w:id="993"/>
      <w:bookmarkEnd w:id="989"/>
      <w:bookmarkEnd w:id="990"/>
      <w:bookmarkEnd w:id="991"/>
      <w:bookmarkEnd w:id="992"/>
    </w:p>
    <w:p>
      <w:pPr>
        <w:numPr>
          <w:ilvl w:val="0"/>
          <w:numId w:val="0"/>
        </w:numPr>
        <w:spacing w:line="400" w:lineRule="exact"/>
        <w:ind w:firstLine="420" w:firstLineChars="200"/>
      </w:pPr>
      <w:r>
        <w:rPr>
          <w:rFonts w:hint="eastAsia"/>
        </w:rPr>
        <w:t>8.3.1根据（关于印发《政府采购促进中小企业发展管理办法》的通知财库〔2020〕46号）的规定，将对供应商所提供的由小型或微型企业制造的货物或承担的服务的价格予以本招标文件规定比例的扣除，用扣除后的价格参加评审。扣除比例见第三章“资格审查、评标和定标”。</w:t>
      </w:r>
    </w:p>
    <w:p>
      <w:pPr>
        <w:numPr>
          <w:ilvl w:val="0"/>
          <w:numId w:val="0"/>
        </w:numPr>
        <w:spacing w:line="400" w:lineRule="exact"/>
        <w:ind w:firstLine="420" w:firstLineChars="200"/>
      </w:pPr>
      <w:r>
        <w:rPr>
          <w:rFonts w:hint="eastAsia"/>
        </w:rPr>
        <w:t>8.3.2上述小型、微型企业，是指在中华人民共和国境内依法设立，依据国务院批准的小微企业划分标准确定的小型企业和微型企业，但与大企业的负责人为同一人，或者与大企业存在直接控股、管理关系的除外。符合小型、微型企业划分标准的个体工商户，在政府采购活动中视同小型、微型企业。</w:t>
      </w:r>
    </w:p>
    <w:p>
      <w:pPr>
        <w:numPr>
          <w:ilvl w:val="0"/>
          <w:numId w:val="0"/>
        </w:numPr>
        <w:spacing w:line="400" w:lineRule="exact"/>
        <w:ind w:firstLine="420" w:firstLineChars="200"/>
      </w:pPr>
      <w:r>
        <w:rPr>
          <w:rFonts w:hint="eastAsia"/>
        </w:rPr>
        <w:t>8.3.3招标文件接受联合体投标时，若联合体各方均为小型、微型企业，则该联合体视同为小型、微型企业，享受本招标文件规定的扣除。若联合体一方为与小型、微型企业之间不存在直接控股、管理关系的大中型企业、其他自然人、法人或者其他组织的，且联合体协议中约定小型、微型企业的协议合同金额占到联合体协议合同总金额30%以上的，给予联合体本招标文件规定比例的价格扣除。</w:t>
      </w:r>
    </w:p>
    <w:p>
      <w:pPr>
        <w:numPr>
          <w:ilvl w:val="0"/>
          <w:numId w:val="0"/>
        </w:numPr>
        <w:spacing w:line="400" w:lineRule="exact"/>
        <w:ind w:firstLine="420" w:firstLineChars="200"/>
      </w:pPr>
      <w:r>
        <w:rPr>
          <w:rFonts w:hint="eastAsia"/>
        </w:rPr>
        <w:t>8.3.4投标人应在投标文件中如实填写提供《企业类型声明函》，招标文件接受联合体投标时，联合体协议约定小型和微型企业的合同份额占到合同总金额30%以上的，给予本招标文件规定比例的价格扣除。联合体各方都是小型和微型企业的，给予第三章“资格审查、评标和定标”3.2规定比例的价格扣除。</w:t>
      </w:r>
    </w:p>
    <w:p>
      <w:pPr>
        <w:numPr>
          <w:ilvl w:val="0"/>
          <w:numId w:val="0"/>
        </w:numPr>
        <w:spacing w:line="400" w:lineRule="exact"/>
        <w:ind w:firstLine="420" w:firstLineChars="200"/>
      </w:pPr>
      <w:r>
        <w:rPr>
          <w:rFonts w:hint="eastAsia"/>
        </w:rPr>
        <w:t>8.3.5招标文件允许大中型企业向一家或者多家小微企业分包时，对于分包意向协议约定小型和微型企业的合同份额占到合同总金额30%以上的，给予本招标文件规定比例的价格扣除。</w:t>
      </w:r>
    </w:p>
    <w:p>
      <w:pPr>
        <w:numPr>
          <w:ilvl w:val="0"/>
          <w:numId w:val="0"/>
        </w:numPr>
        <w:spacing w:line="400" w:lineRule="exact"/>
        <w:ind w:firstLine="420" w:firstLineChars="200"/>
      </w:pPr>
      <w:r>
        <w:rPr>
          <w:rFonts w:hint="eastAsia"/>
        </w:rPr>
        <w:t>8.3.6根据《财政部司法部关于政府采购支持监狱企业发展有关问题的通知》（财库〔2014〕68号），在政府采购活动中，监狱企业视同小型、微型企业，享受评审中价格扣除等政府采购促进中小企业发展的政府采购政策。监狱企业参加政府采购活动时，应当提供由省级以上监狱管理局、戒毒管理局（含新疆生产建设兵团）出具的属于监狱企业的证明文件。</w:t>
      </w:r>
    </w:p>
    <w:p>
      <w:pPr>
        <w:numPr>
          <w:ilvl w:val="0"/>
          <w:numId w:val="0"/>
        </w:numPr>
        <w:spacing w:line="400" w:lineRule="exact"/>
        <w:ind w:firstLine="420" w:firstLineChars="200"/>
      </w:pPr>
      <w:r>
        <w:rPr>
          <w:rFonts w:hint="eastAsia"/>
        </w:rPr>
        <w:t>8.3.7根据《财政部民政部中国残疾人联合会关于促进残疾人就业政府采购政策的通知》（财库〔2017〕141号）在政府采购活动中，符合文件规定的残疾人福利性单位视同小型、微型企业，享受评审中价格扣除等政府采购政策。残疾人福利性单位属于小型、微型企业的，不重复享受政策。符合条件的残疾人福利性单位在参加政府采购活动时，应当提供《残疾人福利性单位声明函》，并对声明的真实性负责。中标、成交供应商为残疾人福利性单位的，随中标、成交结果同时公告其《残疾人福利性单位声明函》，接受社会监督。供应商提供的《残疾人福利性单位声明函》与事实不符的，依照《政府采购法》第七十七条第一款的规定追究法律责任。</w:t>
      </w:r>
    </w:p>
    <w:p>
      <w:pPr>
        <w:pStyle w:val="Heading2"/>
      </w:pPr>
      <w:bookmarkStart w:id="994" w:name="_Toc28388"/>
      <w:bookmarkStart w:id="995" w:name="_Toc296602461"/>
      <w:bookmarkStart w:id="996" w:name="_Toc3652"/>
      <w:bookmarkStart w:id="997" w:name="_Toc5133"/>
      <w:bookmarkStart w:id="998" w:name="_Toc1798"/>
      <w:bookmarkStart w:id="999" w:name="_Toc256000137"/>
      <w:r>
        <w:rPr>
          <w:rFonts w:hint="eastAsia"/>
        </w:rPr>
        <w:t>9. 纪律和监督</w:t>
      </w:r>
      <w:bookmarkEnd w:id="999"/>
      <w:bookmarkEnd w:id="994"/>
      <w:bookmarkEnd w:id="995"/>
      <w:bookmarkEnd w:id="996"/>
      <w:bookmarkEnd w:id="997"/>
      <w:bookmarkEnd w:id="998"/>
    </w:p>
    <w:p>
      <w:pPr>
        <w:pStyle w:val="Heading3"/>
      </w:pPr>
      <w:bookmarkStart w:id="1000" w:name="_Toc24470"/>
      <w:bookmarkStart w:id="1001" w:name="_Toc8371"/>
      <w:bookmarkStart w:id="1002" w:name="_Toc144974543"/>
      <w:bookmarkStart w:id="1003" w:name="_Toc152042351"/>
      <w:bookmarkStart w:id="1004" w:name="_Toc152045575"/>
      <w:bookmarkStart w:id="1005" w:name="_Toc296602462"/>
      <w:bookmarkStart w:id="1006" w:name="_Toc1727"/>
      <w:bookmarkStart w:id="1007" w:name="_Toc247085733"/>
      <w:bookmarkStart w:id="1008" w:name="_Toc246996962"/>
      <w:bookmarkStart w:id="1009" w:name="_Toc179632593"/>
      <w:bookmarkStart w:id="1010" w:name="_Toc246996219"/>
      <w:bookmarkStart w:id="1011" w:name="_Toc1744"/>
      <w:bookmarkStart w:id="1012" w:name="_Toc296590983"/>
      <w:bookmarkStart w:id="1013" w:name="_Toc256000138"/>
      <w:r>
        <w:rPr>
          <w:rFonts w:hint="eastAsia"/>
        </w:rPr>
        <w:t>9.1 对采购人和采购代理机构的纪律要求</w:t>
      </w:r>
      <w:bookmarkEnd w:id="1013"/>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spacing w:line="400" w:lineRule="exact"/>
        <w:ind w:firstLine="420" w:firstLineChars="200"/>
      </w:pPr>
      <w:r>
        <w:rPr>
          <w:rFonts w:hint="eastAsia"/>
        </w:rPr>
        <w:t>采购人和采购代理机构不得泄漏招标投标活动中应当保密的情况和资料，不得与投标人串通损害国家利益、社会公共利益或者他人合法权益。</w:t>
      </w:r>
    </w:p>
    <w:p>
      <w:pPr>
        <w:pStyle w:val="Heading3"/>
      </w:pPr>
      <w:bookmarkStart w:id="1014" w:name="_Toc28601"/>
      <w:bookmarkStart w:id="1015" w:name="_Toc246996220"/>
      <w:bookmarkStart w:id="1016" w:name="_Toc247085734"/>
      <w:bookmarkStart w:id="1017" w:name="_Toc26575"/>
      <w:bookmarkStart w:id="1018" w:name="_Toc152042352"/>
      <w:bookmarkStart w:id="1019" w:name="_Toc246996963"/>
      <w:bookmarkStart w:id="1020" w:name="_Toc179632594"/>
      <w:bookmarkStart w:id="1021" w:name="_Toc21762"/>
      <w:bookmarkStart w:id="1022" w:name="_Toc296602463"/>
      <w:bookmarkStart w:id="1023" w:name="_Toc144974544"/>
      <w:bookmarkStart w:id="1024" w:name="_Toc30340"/>
      <w:bookmarkStart w:id="1025" w:name="_Toc152045576"/>
      <w:bookmarkStart w:id="1026" w:name="_Toc256000139"/>
      <w:r>
        <w:rPr>
          <w:rFonts w:hint="eastAsia"/>
        </w:rPr>
        <w:t>9.2 对投标人的纪律要求</w:t>
      </w:r>
      <w:bookmarkEnd w:id="1026"/>
      <w:bookmarkEnd w:id="1014"/>
      <w:bookmarkEnd w:id="1015"/>
      <w:bookmarkEnd w:id="1016"/>
      <w:bookmarkEnd w:id="1017"/>
      <w:bookmarkEnd w:id="1018"/>
      <w:bookmarkEnd w:id="1019"/>
      <w:bookmarkEnd w:id="1020"/>
      <w:bookmarkEnd w:id="1021"/>
      <w:bookmarkEnd w:id="1022"/>
      <w:bookmarkEnd w:id="1023"/>
      <w:bookmarkEnd w:id="1024"/>
      <w:bookmarkEnd w:id="1025"/>
    </w:p>
    <w:p>
      <w:pPr>
        <w:spacing w:line="400" w:lineRule="exact"/>
        <w:ind w:firstLine="420" w:firstLineChars="200"/>
      </w:pPr>
      <w:r>
        <w:rPr>
          <w:rFonts w:hint="eastAsia"/>
        </w:rPr>
        <w:t>投标人不得相互串通投标或者与采购人和采购代理机构串通投标，不得向采购人和采购代理机构或者评标委员会成员行贿谋取中标，不得以他人名义投标或者以其他方式弄虚作假骗取中标；投标人不得以任何方式干扰、影响评标工作。</w:t>
      </w:r>
    </w:p>
    <w:p>
      <w:pPr>
        <w:pStyle w:val="Heading3"/>
      </w:pPr>
      <w:bookmarkStart w:id="1027" w:name="_Toc1104"/>
      <w:bookmarkStart w:id="1028" w:name="_Toc152042353"/>
      <w:bookmarkStart w:id="1029" w:name="_Toc32708"/>
      <w:bookmarkStart w:id="1030" w:name="_Toc246996221"/>
      <w:bookmarkStart w:id="1031" w:name="_Toc26362"/>
      <w:bookmarkStart w:id="1032" w:name="_Toc152045577"/>
      <w:bookmarkStart w:id="1033" w:name="_Toc296602464"/>
      <w:bookmarkStart w:id="1034" w:name="_Toc179632595"/>
      <w:bookmarkStart w:id="1035" w:name="_Toc247085735"/>
      <w:bookmarkStart w:id="1036" w:name="_Toc10259"/>
      <w:bookmarkStart w:id="1037" w:name="_Toc144974545"/>
      <w:bookmarkStart w:id="1038" w:name="_Toc246996964"/>
      <w:bookmarkStart w:id="1039" w:name="_Toc256000140"/>
      <w:r>
        <w:rPr>
          <w:rFonts w:hint="eastAsia"/>
        </w:rPr>
        <w:t>9.3 对评标委员会成员的纪律要求</w:t>
      </w:r>
      <w:bookmarkEnd w:id="1039"/>
      <w:bookmarkEnd w:id="1027"/>
      <w:bookmarkEnd w:id="1028"/>
      <w:bookmarkEnd w:id="1029"/>
      <w:bookmarkEnd w:id="1030"/>
      <w:bookmarkEnd w:id="1031"/>
      <w:bookmarkEnd w:id="1032"/>
      <w:bookmarkEnd w:id="1033"/>
      <w:bookmarkEnd w:id="1034"/>
      <w:bookmarkEnd w:id="1035"/>
      <w:bookmarkEnd w:id="1036"/>
      <w:bookmarkEnd w:id="1037"/>
      <w:bookmarkEnd w:id="1038"/>
    </w:p>
    <w:p>
      <w:pPr>
        <w:spacing w:line="400" w:lineRule="exact"/>
        <w:ind w:firstLine="420" w:firstLineChars="200"/>
      </w:pPr>
      <w:r>
        <w:rPr>
          <w:rFonts w:hint="eastAsia"/>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资格审查、评标和定标”没有规定的评审因素和标准进行评标。</w:t>
      </w:r>
    </w:p>
    <w:p>
      <w:pPr>
        <w:pStyle w:val="Heading3"/>
      </w:pPr>
      <w:bookmarkStart w:id="1040" w:name="_Toc21855"/>
      <w:bookmarkStart w:id="1041" w:name="_Toc152042354"/>
      <w:bookmarkStart w:id="1042" w:name="_Toc20594"/>
      <w:bookmarkStart w:id="1043" w:name="_Toc18300"/>
      <w:bookmarkStart w:id="1044" w:name="_Toc179632596"/>
      <w:bookmarkStart w:id="1045" w:name="_Toc246996965"/>
      <w:bookmarkStart w:id="1046" w:name="_Toc246996222"/>
      <w:bookmarkStart w:id="1047" w:name="_Toc247085736"/>
      <w:bookmarkStart w:id="1048" w:name="_Toc26625"/>
      <w:bookmarkStart w:id="1049" w:name="_Toc296602465"/>
      <w:bookmarkStart w:id="1050" w:name="_Toc152045578"/>
      <w:bookmarkStart w:id="1051" w:name="_Toc144974546"/>
      <w:bookmarkStart w:id="1052" w:name="_Toc256000141"/>
      <w:r>
        <w:rPr>
          <w:rFonts w:hint="eastAsia"/>
        </w:rPr>
        <w:t>9.4 对与评标活动有关的工作人员的纪律要求</w:t>
      </w:r>
      <w:bookmarkEnd w:id="1052"/>
      <w:bookmarkEnd w:id="1040"/>
      <w:bookmarkEnd w:id="1041"/>
      <w:bookmarkEnd w:id="1042"/>
      <w:bookmarkEnd w:id="1043"/>
      <w:bookmarkEnd w:id="1044"/>
      <w:bookmarkEnd w:id="1045"/>
      <w:bookmarkEnd w:id="1046"/>
      <w:bookmarkEnd w:id="1047"/>
      <w:bookmarkEnd w:id="1048"/>
      <w:bookmarkEnd w:id="1049"/>
      <w:bookmarkEnd w:id="1050"/>
    </w:p>
    <w:p>
      <w:pPr>
        <w:spacing w:line="400" w:lineRule="exact"/>
        <w:ind w:firstLine="420" w:firstLineChars="200"/>
      </w:pPr>
      <w:bookmarkStart w:id="1053" w:name="_Toc152042355"/>
      <w:r>
        <w:rPr>
          <w:rFonts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1053"/>
    </w:p>
    <w:p>
      <w:pPr>
        <w:pStyle w:val="Heading2"/>
      </w:pPr>
      <w:bookmarkEnd w:id="1051"/>
      <w:bookmarkStart w:id="1054" w:name="_Toc15395"/>
      <w:bookmarkStart w:id="1055" w:name="_Toc14906"/>
      <w:bookmarkStart w:id="1056" w:name="_Toc26864"/>
      <w:bookmarkStart w:id="1057" w:name="_Toc784"/>
      <w:bookmarkStart w:id="1058" w:name="_Toc256000142"/>
      <w:r>
        <w:t>10.质疑与投诉</w:t>
      </w:r>
      <w:bookmarkEnd w:id="1058"/>
      <w:bookmarkEnd w:id="1054"/>
      <w:bookmarkEnd w:id="1055"/>
      <w:bookmarkEnd w:id="1056"/>
      <w:bookmarkEnd w:id="1057"/>
    </w:p>
    <w:p>
      <w:pPr>
        <w:pStyle w:val="Heading3"/>
        <w:numPr>
          <w:ilvl w:val="0"/>
          <w:numId w:val="0"/>
        </w:numPr>
        <w:rPr>
          <w:rFonts w:ascii="Calibri" w:eastAsia="宋体"/>
        </w:rPr>
      </w:pPr>
      <w:bookmarkStart w:id="1059" w:name="_Toc25796"/>
      <w:bookmarkStart w:id="1060" w:name="_Toc29266"/>
      <w:bookmarkStart w:id="1061" w:name="_Toc29117"/>
      <w:bookmarkStart w:id="1062" w:name="_Toc22365"/>
      <w:bookmarkStart w:id="1063" w:name="_Toc256000143"/>
      <w:r>
        <w:rPr>
          <w:rFonts w:hint="eastAsia"/>
        </w:rPr>
        <w:t>10.1</w:t>
      </w:r>
      <w:r>
        <w:rPr>
          <w:rFonts w:ascii="Calibri" w:eastAsia="宋体" w:hint="eastAsia"/>
        </w:rPr>
        <w:t>询问</w:t>
      </w:r>
      <w:bookmarkEnd w:id="1063"/>
      <w:bookmarkEnd w:id="1059"/>
      <w:bookmarkEnd w:id="1060"/>
      <w:bookmarkEnd w:id="1061"/>
      <w:bookmarkEnd w:id="1062"/>
    </w:p>
    <w:p>
      <w:pPr>
        <w:spacing w:line="400" w:lineRule="exact"/>
        <w:ind w:firstLine="420" w:firstLineChars="200"/>
      </w:pPr>
      <w:r>
        <w:rPr>
          <w:rFonts w:hint="eastAsia"/>
        </w:rPr>
        <w:t>投标人对招标活动事项有疑问的，可以向采购代理机构和采购人提出询问，采购代理机构和采购人将在3个工作日内作出答复。</w:t>
      </w:r>
    </w:p>
    <w:p>
      <w:pPr>
        <w:pStyle w:val="Heading3"/>
        <w:numPr>
          <w:ilvl w:val="0"/>
          <w:numId w:val="0"/>
        </w:numPr>
        <w:rPr>
          <w:rFonts w:ascii="Calibri" w:eastAsia="宋体"/>
        </w:rPr>
      </w:pPr>
      <w:bookmarkStart w:id="1064" w:name="_Toc17464"/>
      <w:bookmarkStart w:id="1065" w:name="_Toc2893"/>
      <w:bookmarkStart w:id="1066" w:name="_Toc21166"/>
      <w:bookmarkStart w:id="1067" w:name="_Toc30274"/>
      <w:bookmarkStart w:id="1068" w:name="_Toc256000144"/>
      <w:r>
        <w:rPr>
          <w:rFonts w:hint="eastAsia"/>
        </w:rPr>
        <w:t>10.2</w:t>
      </w:r>
      <w:r>
        <w:rPr>
          <w:rFonts w:ascii="Calibri" w:eastAsia="宋体" w:hint="eastAsia"/>
        </w:rPr>
        <w:t>质疑</w:t>
      </w:r>
      <w:bookmarkEnd w:id="1068"/>
      <w:bookmarkEnd w:id="1064"/>
      <w:bookmarkEnd w:id="1065"/>
      <w:bookmarkEnd w:id="1066"/>
      <w:bookmarkEnd w:id="1067"/>
    </w:p>
    <w:p>
      <w:pPr>
        <w:numPr>
          <w:ilvl w:val="0"/>
          <w:numId w:val="0"/>
        </w:numPr>
        <w:spacing w:line="400" w:lineRule="exact"/>
        <w:ind w:firstLine="420" w:firstLineChars="200"/>
      </w:pPr>
      <w:r>
        <w:rPr>
          <w:rFonts w:hint="eastAsia"/>
        </w:rPr>
        <w:t>10.2.1参与政府采购活动的供应商认为自己的权益在采购活动中受到损害的，应当自知道或者应当知道其权益受到损害之日起七个工作日内向采购人或采购代理机构以书面形式提出质疑。供应商应当知道其权益受到损害之日是指：（一）对采购文件的质疑，为采购文件公布之日；（二）对采购过程的质疑，为各采购程序环节结束之日；（三）对中标或者成交结果以及评审委员会、谈判小组、 竞价小组组成人员的质疑，为中标或者成交结果公示之日。逾期提出的质疑采购代理机构和采购人不予受理。</w:t>
      </w:r>
    </w:p>
    <w:p>
      <w:pPr>
        <w:numPr>
          <w:ilvl w:val="0"/>
          <w:numId w:val="0"/>
        </w:numPr>
        <w:spacing w:line="400" w:lineRule="exact"/>
        <w:ind w:firstLine="420" w:firstLineChars="200"/>
      </w:pPr>
      <w:r>
        <w:rPr>
          <w:rFonts w:hint="eastAsia"/>
        </w:rPr>
        <w:t>10.2.2供应商质疑应当实名提交书面质疑书，且针对同一采购环节的质疑应当在法定期限内一次性提出，质疑书应当包含下列内容：（一）有明确的质疑请求；（二）有明确的质疑对象；（三）因质疑事项而受损害的权益；（四）有合理的事实和依据；（五）法律、法规和规章规定的其他材料。供应商捏造事实、提供虚假材料质疑，以及假冒他人名义质疑或者无正当理由拒不配合进行质疑调查的，由主管部门记入供应商诚信档案。质疑书不符合上述要求的，采购代理机构和采购人可以要求质疑人予以补充，质疑人未及时补充造成逾期质疑的，责任由质疑人自负。</w:t>
      </w:r>
    </w:p>
    <w:p>
      <w:pPr>
        <w:numPr>
          <w:ilvl w:val="0"/>
          <w:numId w:val="0"/>
        </w:numPr>
        <w:spacing w:line="400" w:lineRule="exact"/>
        <w:ind w:firstLine="420" w:firstLineChars="200"/>
      </w:pPr>
      <w:r>
        <w:rPr>
          <w:rFonts w:hint="eastAsia"/>
        </w:rPr>
        <w:t>10.2.3质疑时应提供质疑书原件，并由质疑人法定代表人（单位负责人）或其授权的代理人签字并加盖公章，质疑书由授权的代理人签字的，应附质疑人法定代表人（单位负责人）签署的授权委托书，</w:t>
      </w:r>
      <w:r>
        <w:t>授权委托书应当载明代理人的姓名或者名称、代理事项、具体权限、期限和相关事项。</w:t>
      </w:r>
    </w:p>
    <w:p>
      <w:pPr>
        <w:spacing w:line="400" w:lineRule="exact"/>
        <w:ind w:firstLine="420" w:firstLineChars="200"/>
      </w:pPr>
      <w:r>
        <w:rPr>
          <w:rFonts w:hint="eastAsia"/>
        </w:rPr>
        <w:t>10.2.4采购代理机构和采购人在收到投标供应商的书面质疑后七个工作日内作出答复，并以书面形式通知质疑投标供应商和其他有关投标供应商，但答复内容不涉及商业秘密。</w:t>
      </w:r>
    </w:p>
    <w:p>
      <w:pPr>
        <w:pStyle w:val="Heading3"/>
        <w:numPr>
          <w:ilvl w:val="0"/>
          <w:numId w:val="0"/>
        </w:numPr>
        <w:rPr>
          <w:rFonts w:ascii="Calibri" w:eastAsia="宋体"/>
        </w:rPr>
      </w:pPr>
      <w:bookmarkStart w:id="1069" w:name="_Toc31016"/>
      <w:bookmarkStart w:id="1070" w:name="_Toc29119"/>
      <w:bookmarkStart w:id="1071" w:name="_Toc7397"/>
      <w:bookmarkStart w:id="1072" w:name="_Toc28775"/>
      <w:bookmarkStart w:id="1073" w:name="_Toc256000145"/>
      <w:r>
        <w:rPr>
          <w:rFonts w:hint="eastAsia"/>
        </w:rPr>
        <w:t>10.3</w:t>
      </w:r>
      <w:r>
        <w:rPr>
          <w:rFonts w:ascii="Calibri" w:eastAsia="宋体" w:hint="eastAsia"/>
        </w:rPr>
        <w:t>投诉</w:t>
      </w:r>
      <w:bookmarkEnd w:id="1073"/>
      <w:bookmarkEnd w:id="1069"/>
      <w:bookmarkEnd w:id="1070"/>
      <w:bookmarkEnd w:id="1071"/>
      <w:bookmarkEnd w:id="1072"/>
    </w:p>
    <w:p>
      <w:pPr>
        <w:numPr>
          <w:ilvl w:val="0"/>
          <w:numId w:val="0"/>
        </w:numPr>
        <w:spacing w:line="400" w:lineRule="exact"/>
        <w:ind w:firstLine="420" w:firstLineChars="200"/>
      </w:pPr>
      <w:r>
        <w:rPr>
          <w:rFonts w:hint="eastAsia"/>
        </w:rPr>
        <w:t>10.3.1投标供应商对采购代理机构和采购人的质疑答复不满意或在规定时间内未得到答复的，可以在答复期满后十五个工作日内，向同级政府采购监督管理部门投诉。</w:t>
      </w:r>
    </w:p>
    <w:p>
      <w:pPr>
        <w:spacing w:line="400" w:lineRule="exact"/>
        <w:ind w:firstLine="420" w:firstLineChars="200"/>
      </w:pPr>
      <w:r>
        <w:rPr>
          <w:rFonts w:hint="eastAsia"/>
        </w:rPr>
        <w:t>10.3.2投标供应商投诉的事项应当是经过质疑的事项，且投诉的事项不得超出已质疑事项的范围。</w:t>
      </w:r>
    </w:p>
    <w:p>
      <w:pPr>
        <w:spacing w:line="400" w:lineRule="exact"/>
      </w:pPr>
      <w:r>
        <w:br w:type="page"/>
      </w:r>
    </w:p>
    <w:p>
      <w:pPr>
        <w:pStyle w:val="Heading1"/>
        <w:jc w:val="center"/>
      </w:pPr>
      <w:bookmarkStart w:id="1074" w:name="_Toc685"/>
      <w:bookmarkStart w:id="1075" w:name="_Toc19014"/>
      <w:bookmarkStart w:id="1076" w:name="_Toc15827"/>
      <w:bookmarkStart w:id="1077" w:name="_Toc256000146"/>
      <w:r>
        <w:rPr>
          <w:rFonts w:hint="eastAsia"/>
        </w:rPr>
        <w:t>第八章 附件</w:t>
      </w:r>
      <w:bookmarkEnd w:id="1077"/>
      <w:bookmarkEnd w:id="1074"/>
      <w:bookmarkEnd w:id="1075"/>
      <w:bookmarkEnd w:id="1076"/>
    </w:p>
    <w:p/>
    <w:p>
      <w:pPr>
        <w:pStyle w:val="Heading2"/>
        <w:jc w:val="center"/>
      </w:pPr>
      <w:bookmarkStart w:id="1078" w:name="_Toc2250"/>
      <w:bookmarkStart w:id="1079" w:name="_Toc16972"/>
      <w:bookmarkStart w:id="1080" w:name="_Toc2470"/>
      <w:bookmarkStart w:id="1081" w:name="_Toc256000147"/>
      <w:r>
        <w:rPr>
          <w:rFonts w:hint="eastAsia"/>
        </w:rPr>
        <w:t>附件说明</w:t>
      </w:r>
      <w:bookmarkEnd w:id="1081"/>
      <w:bookmarkEnd w:id="1078"/>
      <w:bookmarkEnd w:id="1079"/>
      <w:bookmarkEnd w:id="1080"/>
    </w:p>
    <w:p>
      <w:pPr>
        <w:spacing w:line="400" w:lineRule="exact"/>
        <w:ind w:firstLine="420" w:firstLineChars="200"/>
      </w:pPr>
      <w:r>
        <w:rPr>
          <w:rFonts w:hint="eastAsia"/>
        </w:rPr>
        <w:t>本章内容为招标中可能会涉及的有关文件格式，不是投标文件的组成部分。</w:t>
      </w:r>
    </w:p>
    <w:p>
      <w:pPr>
        <w:spacing w:line="400" w:lineRule="exact"/>
        <w:ind w:firstLine="420" w:firstLineChars="200"/>
      </w:pPr>
      <w:r>
        <w:rPr>
          <w:rFonts w:hint="eastAsia"/>
        </w:rPr>
        <w:t>招标活动中，供应商如需就相关内容向采购人或代理机构提出询问或质疑的，请参照附件格式准备书面材料。</w:t>
      </w:r>
    </w:p>
    <w:p/>
    <w:p>
      <w:r>
        <w:rPr>
          <w:rFonts w:hint="eastAsia"/>
        </w:rPr>
        <w:br w:type="page"/>
      </w:r>
    </w:p>
    <w:p/>
    <w:p>
      <w:pPr>
        <w:pStyle w:val="Heading2"/>
        <w:jc w:val="center"/>
      </w:pPr>
      <w:bookmarkStart w:id="1082" w:name="_Toc21179"/>
      <w:bookmarkStart w:id="1083" w:name="_Toc13003"/>
      <w:bookmarkStart w:id="1084" w:name="_Toc11915"/>
      <w:bookmarkStart w:id="1085" w:name="_Toc256000148"/>
      <w:r>
        <w:rPr>
          <w:rFonts w:hint="eastAsia"/>
        </w:rPr>
        <w:t>附件1：</w:t>
      </w:r>
      <w:r>
        <w:t>询问函</w:t>
      </w:r>
      <w:bookmarkEnd w:id="1085"/>
      <w:bookmarkEnd w:id="1082"/>
      <w:bookmarkEnd w:id="1083"/>
      <w:bookmarkEnd w:id="1084"/>
    </w:p>
    <w:p/>
    <w:p>
      <w:r>
        <w:rPr>
          <w:rFonts w:hint="eastAsia"/>
        </w:rPr>
        <w:t>深圳龙达招标有限公司：</w:t>
      </w:r>
    </w:p>
    <w:p>
      <w:pPr>
        <w:ind w:firstLine="420" w:firstLineChars="200"/>
      </w:pPr>
      <w:r>
        <w:rPr>
          <w:rFonts w:hint="eastAsia"/>
        </w:rPr>
        <w:t>我单位是</w:t>
      </w:r>
      <w:r>
        <w:rPr>
          <w:rFonts w:hint="eastAsia"/>
          <w:u w:val="single"/>
        </w:rPr>
        <w:t>（项目名称）</w:t>
      </w:r>
      <w:r>
        <w:rPr>
          <w:rFonts w:hint="eastAsia"/>
        </w:rPr>
        <w:t>项目</w:t>
      </w:r>
      <w:r>
        <w:rPr>
          <w:rFonts w:hint="eastAsia"/>
          <w:u w:val="single"/>
        </w:rPr>
        <w:t>（招标编号：     ）</w:t>
      </w:r>
      <w:r>
        <w:rPr>
          <w:rFonts w:hint="eastAsia"/>
        </w:rPr>
        <w:t>的潜在投标人，</w:t>
      </w:r>
      <w:r>
        <w:rPr>
          <w:rFonts w:hint="eastAsia"/>
          <w:u w:val="single"/>
        </w:rPr>
        <w:t>（已/拟）</w:t>
      </w:r>
      <w:r>
        <w:rPr>
          <w:rFonts w:hint="eastAsia"/>
        </w:rPr>
        <w:t>报名参加该项目投标，依据《中华人民共和国政府采购法》第51条规定，现就以下内容提出询问。</w:t>
      </w:r>
    </w:p>
    <w:p>
      <w:pPr>
        <w:ind w:firstLine="420" w:firstLineChars="200"/>
      </w:pPr>
      <w:r>
        <w:rPr>
          <w:rFonts w:hint="eastAsia"/>
        </w:rPr>
        <w:t>一、事项1</w:t>
      </w:r>
    </w:p>
    <w:p>
      <w:pPr>
        <w:ind w:firstLine="420" w:firstLineChars="200"/>
      </w:pPr>
      <w:r>
        <w:rPr>
          <w:rFonts w:hint="eastAsia"/>
        </w:rPr>
        <w:t>（1）问题或招标文件条款</w:t>
      </w:r>
    </w:p>
    <w:p>
      <w:pPr>
        <w:ind w:firstLine="420" w:firstLineChars="200"/>
      </w:pPr>
      <w:r>
        <w:rPr>
          <w:rFonts w:hint="eastAsia"/>
        </w:rPr>
        <w:t>（2）建议</w:t>
      </w:r>
    </w:p>
    <w:p>
      <w:pPr>
        <w:ind w:firstLine="420" w:firstLineChars="200"/>
      </w:pPr>
      <w:r>
        <w:rPr>
          <w:rFonts w:hint="eastAsia"/>
        </w:rPr>
        <w:t>（3）证明材料</w:t>
      </w:r>
    </w:p>
    <w:p>
      <w:pPr>
        <w:ind w:firstLine="420" w:firstLineChars="200"/>
      </w:pPr>
      <w:r>
        <w:rPr>
          <w:rFonts w:hint="eastAsia"/>
        </w:rPr>
        <w:t>二、事项2</w:t>
      </w:r>
    </w:p>
    <w:p>
      <w:pPr>
        <w:ind w:firstLine="420" w:firstLineChars="200"/>
      </w:pPr>
      <w:r>
        <w:rPr>
          <w:rFonts w:hint="eastAsia"/>
        </w:rPr>
        <w:t>（1）问题或招标文件条款</w:t>
      </w:r>
    </w:p>
    <w:p>
      <w:pPr>
        <w:ind w:firstLine="420" w:firstLineChars="200"/>
      </w:pPr>
      <w:r>
        <w:rPr>
          <w:rFonts w:hint="eastAsia"/>
        </w:rPr>
        <w:t>（2）建议</w:t>
      </w:r>
    </w:p>
    <w:p>
      <w:pPr>
        <w:ind w:firstLine="420" w:firstLineChars="200"/>
      </w:pPr>
      <w:r>
        <w:rPr>
          <w:rFonts w:hint="eastAsia"/>
        </w:rPr>
        <w:t>（3）证明材料</w:t>
      </w:r>
    </w:p>
    <w:p>
      <w:pPr>
        <w:ind w:firstLine="420" w:firstLineChars="200"/>
      </w:pPr>
      <w:r>
        <w:rPr>
          <w:rFonts w:hint="eastAsia"/>
        </w:rPr>
        <w:t>……</w:t>
      </w:r>
    </w:p>
    <w:p>
      <w:pPr>
        <w:ind w:firstLine="420" w:firstLineChars="200"/>
      </w:pPr>
      <w:r>
        <w:rPr>
          <w:rFonts w:hint="eastAsia"/>
        </w:rPr>
        <w:t>请贵方依照政府采购有关规定及时回复。</w:t>
      </w:r>
    </w:p>
    <w:p/>
    <w:p>
      <w:r>
        <w:rPr>
          <w:rFonts w:hint="eastAsia"/>
        </w:rPr>
        <w:t>供应商：（签章）</w:t>
      </w:r>
    </w:p>
    <w:p>
      <w:r>
        <w:rPr>
          <w:rFonts w:hint="eastAsia"/>
        </w:rPr>
        <w:t xml:space="preserve">法定代表人：         </w:t>
      </w:r>
    </w:p>
    <w:p>
      <w:r>
        <w:rPr>
          <w:rFonts w:hint="eastAsia"/>
        </w:rPr>
        <w:t xml:space="preserve">地址：          </w:t>
      </w:r>
    </w:p>
    <w:p>
      <w:r>
        <w:rPr>
          <w:rFonts w:hint="eastAsia"/>
        </w:rPr>
        <w:t xml:space="preserve">邮编：          </w:t>
      </w:r>
    </w:p>
    <w:p>
      <w:r>
        <w:rPr>
          <w:rFonts w:hint="eastAsia"/>
        </w:rPr>
        <w:t>电子邮箱：</w:t>
      </w:r>
    </w:p>
    <w:p>
      <w:r>
        <w:rPr>
          <w:rFonts w:hint="eastAsia"/>
        </w:rPr>
        <w:t>电话：</w:t>
      </w:r>
    </w:p>
    <w:p>
      <w:r>
        <w:rPr>
          <w:rFonts w:hint="eastAsia"/>
        </w:rPr>
        <w:t>传真：</w:t>
      </w:r>
    </w:p>
    <w:p>
      <w:pPr>
        <w:wordWrap w:val="0"/>
        <w:ind w:right="1082" w:rightChars="515"/>
        <w:jc w:val="right"/>
      </w:pPr>
      <w:r>
        <w:rPr>
          <w:rFonts w:hint="eastAsia"/>
        </w:rPr>
        <w:t xml:space="preserve">      年  月    日</w:t>
      </w:r>
    </w:p>
    <w:p/>
    <w:p/>
    <w:p/>
    <w:p>
      <w:r>
        <w:br w:type="page"/>
      </w:r>
    </w:p>
    <w:p/>
    <w:p>
      <w:pPr>
        <w:pStyle w:val="Heading2"/>
        <w:jc w:val="center"/>
      </w:pPr>
      <w:bookmarkStart w:id="1086" w:name="_Toc2839"/>
      <w:bookmarkStart w:id="1087" w:name="_Toc32038"/>
      <w:bookmarkStart w:id="1088" w:name="_Toc17214"/>
      <w:bookmarkStart w:id="1089" w:name="_Toc256000149"/>
      <w:r>
        <w:rPr>
          <w:rFonts w:hint="eastAsia"/>
        </w:rPr>
        <w:t>附件2：质疑函</w:t>
      </w:r>
      <w:bookmarkEnd w:id="1089"/>
      <w:bookmarkEnd w:id="1086"/>
      <w:bookmarkEnd w:id="1087"/>
      <w:bookmarkEnd w:id="1088"/>
    </w:p>
    <w:p/>
    <w:p>
      <w:pPr>
        <w:spacing w:line="400" w:lineRule="exact"/>
      </w:pPr>
      <w:r>
        <w:rPr>
          <w:rFonts w:hint="eastAsia"/>
        </w:rPr>
        <w:t>深圳龙达招标有限公司：</w:t>
      </w:r>
    </w:p>
    <w:p>
      <w:pPr>
        <w:spacing w:line="400" w:lineRule="exact"/>
        <w:ind w:firstLine="420" w:firstLineChars="200"/>
      </w:pPr>
      <w:r>
        <w:rPr>
          <w:rFonts w:hint="eastAsia"/>
        </w:rPr>
        <w:t>我单位依法参与了贵公司</w:t>
      </w:r>
      <w:r>
        <w:rPr>
          <w:rFonts w:hint="eastAsia"/>
          <w:u w:val="single"/>
        </w:rPr>
        <w:t>（项目名称）</w:t>
      </w:r>
      <w:r>
        <w:rPr>
          <w:rFonts w:hint="eastAsia"/>
        </w:rPr>
        <w:t>项目</w:t>
      </w:r>
      <w:r>
        <w:rPr>
          <w:rFonts w:hint="eastAsia"/>
          <w:u w:val="single"/>
        </w:rPr>
        <w:t>（招标编号：     ）</w:t>
      </w:r>
      <w:r>
        <w:rPr>
          <w:rFonts w:hint="eastAsia"/>
        </w:rPr>
        <w:t>政府采购活动。根据《深圳经济特区政府采购条例》及其实施细则规定，我单位认为采购活动中，</w:t>
      </w:r>
      <w:r>
        <w:rPr>
          <w:rFonts w:hint="eastAsia"/>
          <w:u w:val="single"/>
        </w:rPr>
        <w:t>（采购文件、采购过程、中标/成交结果）</w:t>
      </w:r>
      <w:r>
        <w:rPr>
          <w:rFonts w:hint="eastAsia"/>
        </w:rPr>
        <w:t>损害了我方权益，特提出质疑。</w:t>
      </w:r>
    </w:p>
    <w:p>
      <w:pPr>
        <w:spacing w:line="400" w:lineRule="exact"/>
        <w:ind w:firstLine="420" w:firstLineChars="200"/>
      </w:pPr>
      <w:r>
        <w:rPr>
          <w:rFonts w:hint="eastAsia"/>
        </w:rPr>
        <w:t>一、我单位认为项目的</w:t>
      </w:r>
      <w:r>
        <w:rPr>
          <w:rFonts w:hint="eastAsia"/>
          <w:u w:val="single"/>
        </w:rPr>
        <w:t>（采购文件、采购过程、中标/成交结果）</w:t>
      </w:r>
      <w:r>
        <w:rPr>
          <w:rFonts w:hint="eastAsia"/>
        </w:rPr>
        <w:t>损害了我方权益，具体事项如下（列明质疑事项的同时，依法举证）：</w:t>
      </w:r>
    </w:p>
    <w:p>
      <w:pPr>
        <w:spacing w:line="400" w:lineRule="exact"/>
        <w:ind w:firstLine="420" w:firstLineChars="200"/>
      </w:pPr>
      <w:r>
        <w:rPr>
          <w:rFonts w:hint="eastAsia"/>
        </w:rPr>
        <w:t>1．；</w:t>
      </w:r>
    </w:p>
    <w:p>
      <w:pPr>
        <w:spacing w:line="400" w:lineRule="exact"/>
        <w:ind w:firstLine="420" w:firstLineChars="200"/>
      </w:pPr>
      <w:r>
        <w:rPr>
          <w:rFonts w:hint="eastAsia"/>
        </w:rPr>
        <w:t>2．；</w:t>
      </w:r>
    </w:p>
    <w:p>
      <w:pPr>
        <w:spacing w:line="400" w:lineRule="exact"/>
        <w:ind w:firstLine="420" w:firstLineChars="200"/>
      </w:pPr>
      <w:r>
        <w:rPr>
          <w:rFonts w:hint="eastAsia"/>
        </w:rPr>
        <w:t>……</w:t>
      </w:r>
    </w:p>
    <w:p>
      <w:pPr>
        <w:spacing w:line="400" w:lineRule="exact"/>
        <w:ind w:firstLine="420" w:firstLineChars="200"/>
      </w:pPr>
      <w:r>
        <w:rPr>
          <w:rFonts w:hint="eastAsia"/>
        </w:rPr>
        <w:t>二、为维护我方的合法权益，现要求贵方就上述质疑事项依照政府采购有关规定在限期内作出回复。</w:t>
      </w:r>
    </w:p>
    <w:p>
      <w:pPr>
        <w:spacing w:line="400" w:lineRule="exact"/>
      </w:pPr>
    </w:p>
    <w:p>
      <w:pPr>
        <w:spacing w:line="400" w:lineRule="exact"/>
      </w:pPr>
      <w:r>
        <w:rPr>
          <w:rFonts w:hint="eastAsia"/>
        </w:rPr>
        <w:t>质疑供应商：（签章）</w:t>
      </w:r>
    </w:p>
    <w:p>
      <w:pPr>
        <w:spacing w:line="400" w:lineRule="exact"/>
      </w:pPr>
      <w:r>
        <w:rPr>
          <w:rFonts w:hint="eastAsia"/>
        </w:rPr>
        <w:t xml:space="preserve">法定代表人： </w:t>
      </w:r>
    </w:p>
    <w:p>
      <w:pPr>
        <w:spacing w:line="400" w:lineRule="exact"/>
      </w:pPr>
      <w:r>
        <w:rPr>
          <w:rFonts w:hint="eastAsia"/>
        </w:rPr>
        <w:t xml:space="preserve">地址： </w:t>
      </w:r>
    </w:p>
    <w:p>
      <w:pPr>
        <w:spacing w:line="400" w:lineRule="exact"/>
      </w:pPr>
      <w:r>
        <w:rPr>
          <w:rFonts w:hint="eastAsia"/>
        </w:rPr>
        <w:t xml:space="preserve">邮编： </w:t>
      </w:r>
    </w:p>
    <w:p>
      <w:pPr>
        <w:spacing w:line="400" w:lineRule="exact"/>
      </w:pPr>
      <w:r>
        <w:rPr>
          <w:rFonts w:hint="eastAsia"/>
        </w:rPr>
        <w:t>电子邮箱：</w:t>
      </w:r>
    </w:p>
    <w:p>
      <w:pPr>
        <w:spacing w:line="400" w:lineRule="exact"/>
      </w:pPr>
      <w:r>
        <w:rPr>
          <w:rFonts w:hint="eastAsia"/>
        </w:rPr>
        <w:t>电话：</w:t>
      </w:r>
    </w:p>
    <w:p>
      <w:pPr>
        <w:spacing w:line="400" w:lineRule="exact"/>
      </w:pPr>
      <w:r>
        <w:rPr>
          <w:rFonts w:hint="eastAsia"/>
        </w:rPr>
        <w:t>传真：</w:t>
      </w:r>
    </w:p>
    <w:p>
      <w:pPr>
        <w:ind w:right="798" w:rightChars="380"/>
        <w:jc w:val="right"/>
      </w:pPr>
      <w:r>
        <w:rPr>
          <w:rFonts w:hint="eastAsia"/>
        </w:rPr>
        <w:t xml:space="preserve">                   年  月  日</w:t>
      </w:r>
    </w:p>
    <w:p>
      <w:pPr>
        <w:spacing w:line="400" w:lineRule="exact"/>
      </w:pPr>
    </w:p>
    <w:p>
      <w:pPr>
        <w:spacing w:line="400" w:lineRule="exact"/>
      </w:pPr>
    </w:p>
    <w:p/>
    <w:p/>
    <w:p>
      <w:bookmarkEnd w:id="42"/>
      <w:bookmarkEnd w:id="43"/>
      <w:bookmarkEnd w:id="44"/>
      <w:bookmarkEnd w:id="45"/>
    </w:p>
    <w:sectPr>
      <w:pgSz w:w="11906" w:h="16838"/>
      <w:pgMar w:top="1440" w:right="1800" w:bottom="1440" w:left="1800" w:header="851" w:footer="992" w:gutter="0"/>
      <w:pgNumType w:fmt="decimal"/>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6A65856-6FEF-40F8-BFC2-9139288FD89E}"/>
  </w:font>
  <w:font w:name="黑体">
    <w:panose1 w:val="02010609060101010101"/>
    <w:charset w:val="86"/>
    <w:family w:val="auto"/>
    <w:pitch w:val="default"/>
    <w:sig w:usb0="800002BF" w:usb1="38CF7CFA" w:usb2="00000016" w:usb3="00000000" w:csb0="00040001" w:csb1="00000000"/>
    <w:embedRegular r:id="rId2" w:fontKey="{8C254C7B-1BBA-43BE-9503-5E1DEC6AB9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B165AED-E748-4249-9D37-C65CC8F0A4A8}"/>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4" w:fontKey="{D53B5E0C-3820-401C-80C8-A52C21259A84}"/>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embedRegular r:id="rId5" w:fontKey="{24C6C14E-4877-4634-9704-FBD6BF121DD6}"/>
  </w:font>
  <w:font w:name="楷体">
    <w:panose1 w:val="02010609060101010101"/>
    <w:charset w:val="86"/>
    <w:family w:val="modern"/>
    <w:pitch w:val="default"/>
    <w:sig w:usb0="800002BF" w:usb1="38CF7CFA" w:usb2="00000016" w:usb3="00000000" w:csb0="00040001" w:csb1="00000000"/>
    <w:embedRegular r:id="rId6" w:fontKey="{FCAAE2B9-E6D0-4224-A6F7-5A31CAD85A9A}"/>
  </w:font>
  <w:font w:name="华文中宋">
    <w:panose1 w:val="02010600040101010101"/>
    <w:charset w:val="86"/>
    <w:family w:val="auto"/>
    <w:pitch w:val="default"/>
    <w:sig w:usb0="00000287" w:usb1="080F0000" w:usb2="00000000" w:usb3="00000000" w:csb0="0004009F" w:csb1="DFD70000"/>
    <w:embedRegular r:id="rId7" w:fontKey="{E4C24EEB-31C8-4C38-BB13-AA8C67AE24AA}"/>
  </w:font>
  <w:font w:name="楷体_GB2312">
    <w:panose1 w:val="02010609030101010101"/>
    <w:charset w:val="86"/>
    <w:family w:val="auto"/>
    <w:pitch w:val="default"/>
    <w:sig w:usb0="00000001" w:usb1="080E0000" w:usb2="00000000" w:usb3="00000000" w:csb0="00040000" w:csb1="00000000"/>
    <w:embedRegular r:id="rId8" w:fontKey="{9C7DE631-64EB-4FA4-A565-8C9C7FC5FBB3}"/>
  </w:font>
  <w:font w:name="Segoe UI Symbol">
    <w:panose1 w:val="020B0502040204020203"/>
    <w:charset w:val="00"/>
    <w:family w:val="swiss"/>
    <w:pitch w:val="default"/>
    <w:sig w:usb0="800001E3" w:usb1="1200FFEF" w:usb2="00040000" w:usb3="04000000" w:csb0="00000001" w:csb1="40000000"/>
    <w:embedRegular r:id="rId9" w:fontKey="{4D368BCA-BA98-433E-AA77-260620DE59E6}"/>
  </w:font>
  <w:font w:name="WPSEMBED3">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ActionIcon">
    <w:altName w:val="FFont-Family"/>
    <w:panose1 w:val="00000000000000000000"/>
    <w:charset w:val="00"/>
    <w:family w:val="auto"/>
    <w:pitch w:val="default"/>
    <w:sig w:usb0="00000000" w:usb1="00000000" w:usb2="00000000" w:usb3="00000000" w:csb0="00000000" w:csb1="00000000"/>
  </w:font>
  <w:font w:name="ModIcon">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w:pict>
        <v:shapetype id="_x0000_t202" coordsize="21600,21600" o:spt="202" path="m,l,21600r21600,l21600,xe">
          <v:stroke joinstyle="miter"/>
          <v:path gradientshapeok="t" o:connecttype="rect"/>
        </v:shapetype>
        <v:shape id="文本框 2" o:spid="_x0000_s2049" type="#_x0000_t202" style="height:2in;margin-left:0;margin-top:0;mso-height-relative:page;mso-position-horizontal:center;mso-position-horizontal-relative:margin;mso-width-relative:page;mso-wrap-style:none;position:absolute;width:2in;z-index:251658240"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w:pict>
        <v:shapetype id="_x0000_t202" coordsize="21600,21600" o:spt="202" path="m,l,21600r21600,l21600,xe">
          <v:stroke joinstyle="miter"/>
          <v:path gradientshapeok="t" o:connecttype="rect"/>
        </v:shapetype>
        <v:shape id="文本框 3" o:spid="_x0000_s2050" type="#_x0000_t202" style="height:2in;margin-left:0;margin-top:0;mso-height-relative:page;mso-position-horizontal:center;mso-position-horizontal-relative:margin;mso-width-relative:page;mso-wrap-style:none;position:absolute;width:2in;z-index:251659264" coordsize="21600,21600" filled="f" stroked="f">
          <o:lock v:ext="edit" aspectratio="f"/>
          <v:textbox style="mso-fit-shape-to-text:t" inset="0,0,0,0">
            <w:txbxContent>
              <w:p>
                <w:pPr>
                  <w:pStyle w:val="Footer"/>
                </w:pPr>
                <w:r>
                  <w:fldChar w:fldCharType="begin"/>
                </w:r>
                <w:r>
                  <w:instrText xml:space="preserve"> PAGE  \* MERGEFORMAT </w:instrText>
                </w:r>
                <w:r>
                  <w:fldChar w:fldCharType="separate"/>
                </w:r>
                <w:r>
                  <w:t>84</w:t>
                </w:r>
                <w:r>
                  <w:fldChar w:fldCharType="end"/>
                </w:r>
              </w:p>
            </w:txbxContent>
          </v:textbox>
          <w10:wrap anchorx="margin"/>
        </v:shape>
      </w:pic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9358C2E"/>
    <w:multiLevelType w:val="singleLevel"/>
    <w:tmpl w:val="B9358C2E"/>
    <w:lvl w:ilvl="0">
      <w:start w:val="2"/>
      <w:numFmt w:val="decimal"/>
      <w:suff w:val="nothing"/>
      <w:lvlText w:val="%1、"/>
      <w:lvlJc w:val="left"/>
    </w:lvl>
  </w:abstractNum>
  <w:abstractNum w:abstractNumId="1">
    <w:nsid w:val="CC709494"/>
    <w:multiLevelType w:val="multilevel"/>
    <w:tmpl w:val="CC709494"/>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04D332F9"/>
    <w:multiLevelType w:val="multilevel"/>
    <w:tmpl w:val="04D332F9"/>
    <w:lvl w:ilvl="0">
      <w:start w:val="1"/>
      <w:numFmt w:val="decimal"/>
      <w:lvlText w:val="%1"/>
      <w:lvlJc w:val="left"/>
      <w:pPr>
        <w:ind w:left="425" w:hanging="425"/>
      </w:pPr>
    </w:lvl>
    <w:lvl w:ilvl="1">
      <w:start w:val="1"/>
      <w:numFmt w:val="decimal"/>
      <w:lvlText w:val="%1.%2"/>
      <w:lvlJc w:val="left"/>
      <w:pPr>
        <w:ind w:left="851"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nsid w:val="30881D1C"/>
    <w:multiLevelType w:val="multilevel"/>
    <w:tmpl w:val="30881D1C"/>
    <w:lvl w:ilvl="0">
      <w:start w:val="1"/>
      <w:numFmt w:val="decimal"/>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64B5F0B"/>
    <w:multiLevelType w:val="multilevel"/>
    <w:tmpl w:val="464B5F0B"/>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59ED723E"/>
    <w:multiLevelType w:val="singleLevel"/>
    <w:tmpl w:val="59ED723E"/>
    <w:lvl w:ilvl="0">
      <w:start w:val="1"/>
      <w:numFmt w:val="decimal"/>
      <w:suff w:val="nothing"/>
      <w:lvlText w:val="%1、"/>
      <w:lvlJc w:val="left"/>
    </w:lvl>
  </w:abstractNum>
  <w:abstractNum w:abstractNumId="6">
    <w:nsid w:val="651B0D1C"/>
    <w:multiLevelType w:val="multilevel"/>
    <w:tmpl w:val="651B0D1C"/>
    <w:lvl w:ilvl="0">
      <w:start w:val="1"/>
      <w:numFmt w:val="decimal"/>
      <w:lvlText w:val="%1."/>
      <w:lvlJc w:val="left"/>
      <w:pPr>
        <w:tabs>
          <w:tab w:val="left" w:pos="907"/>
        </w:tabs>
        <w:ind w:left="907" w:hanging="907"/>
      </w:pPr>
      <w:rPr>
        <w:rFonts w:ascii="Times New Roman" w:hAnsi="Times New Roman" w:cs="Times New Roman" w:hint="default"/>
        <w:b/>
        <w:color w:val="auto"/>
        <w:sz w:val="21"/>
        <w:szCs w:val="21"/>
      </w:rPr>
    </w:lvl>
    <w:lvl w:ilvl="1">
      <w:start w:val="1"/>
      <w:numFmt w:val="decimal"/>
      <w:lvlText w:val="%1.%2."/>
      <w:lvlJc w:val="left"/>
      <w:pPr>
        <w:tabs>
          <w:tab w:val="left" w:pos="907"/>
        </w:tabs>
        <w:ind w:left="907" w:hanging="907"/>
      </w:pPr>
      <w:rPr>
        <w:rFonts w:ascii="Times New Roman" w:hAnsi="Times New Roman" w:cs="Times New Roman" w:hint="default"/>
        <w:b w:val="0"/>
        <w:color w:val="auto"/>
      </w:rPr>
    </w:lvl>
    <w:lvl w:ilvl="2">
      <w:start w:val="1"/>
      <w:numFmt w:val="decimal"/>
      <w:lvlText w:val="%1.%2.%3."/>
      <w:lvlJc w:val="left"/>
      <w:pPr>
        <w:tabs>
          <w:tab w:val="left" w:pos="907"/>
        </w:tabs>
        <w:ind w:left="907" w:hanging="907"/>
      </w:pPr>
      <w:rPr>
        <w:rFonts w:ascii="Times New Roman" w:hAnsi="Times New Roman" w:cs="Times New Roman" w:hint="default"/>
        <w:b w:val="0"/>
        <w:bCs w:val="0"/>
      </w:rPr>
    </w:lvl>
    <w:lvl w:ilvl="3">
      <w:start w:val="1"/>
      <w:numFmt w:val="decimal"/>
      <w:lvlText w:val="%1.%2.%3.%4."/>
      <w:lvlJc w:val="left"/>
      <w:pPr>
        <w:tabs>
          <w:tab w:val="left" w:pos="907"/>
        </w:tabs>
        <w:ind w:left="907" w:hanging="907"/>
      </w:pPr>
      <w:rPr>
        <w:rFonts w:ascii="Times New Roman" w:hAnsi="Times New Roman" w:cs="Times New Roman" w:hint="default"/>
        <w:b w:val="0"/>
        <w:bCs w:val="0"/>
      </w:rPr>
    </w:lvl>
    <w:lvl w:ilvl="4">
      <w:start w:val="1"/>
      <w:numFmt w:val="decimal"/>
      <w:lvlText w:val="%1.%2.%3.%4.%5."/>
      <w:lvlJc w:val="left"/>
      <w:pPr>
        <w:tabs>
          <w:tab w:val="left" w:pos="907"/>
        </w:tabs>
        <w:ind w:left="907" w:hanging="907"/>
      </w:pPr>
      <w:rPr>
        <w:rFonts w:hint="eastAsia"/>
      </w:rPr>
    </w:lvl>
    <w:lvl w:ilvl="5">
      <w:start w:val="1"/>
      <w:numFmt w:val="decimal"/>
      <w:lvlText w:val="%1.%2.%3.%4.%5.%6."/>
      <w:lvlJc w:val="left"/>
      <w:pPr>
        <w:tabs>
          <w:tab w:val="left" w:pos="907"/>
        </w:tabs>
        <w:ind w:left="907" w:hanging="907"/>
      </w:pPr>
      <w:rPr>
        <w:rFonts w:hint="eastAsia"/>
      </w:rPr>
    </w:lvl>
    <w:lvl w:ilvl="6">
      <w:start w:val="1"/>
      <w:numFmt w:val="decimal"/>
      <w:lvlText w:val="%1.%2.%3.%4.%5.%6.%7."/>
      <w:lvlJc w:val="left"/>
      <w:pPr>
        <w:tabs>
          <w:tab w:val="left" w:pos="907"/>
        </w:tabs>
        <w:ind w:left="907" w:hanging="907"/>
      </w:pPr>
      <w:rPr>
        <w:rFonts w:hint="eastAsia"/>
      </w:rPr>
    </w:lvl>
    <w:lvl w:ilvl="7">
      <w:start w:val="1"/>
      <w:numFmt w:val="decimal"/>
      <w:lvlText w:val="%1.%2.%3.%4.%5.%6.%7.%8."/>
      <w:lvlJc w:val="left"/>
      <w:pPr>
        <w:tabs>
          <w:tab w:val="left" w:pos="907"/>
        </w:tabs>
        <w:ind w:left="907" w:hanging="907"/>
      </w:pPr>
      <w:rPr>
        <w:rFonts w:hint="eastAsia"/>
      </w:rPr>
    </w:lvl>
    <w:lvl w:ilvl="8">
      <w:start w:val="1"/>
      <w:numFmt w:val="decimal"/>
      <w:lvlText w:val="%1.%2.%3.%4.%5.%6.%7.%8.%9."/>
      <w:lvlJc w:val="left"/>
      <w:pPr>
        <w:tabs>
          <w:tab w:val="left" w:pos="907"/>
        </w:tabs>
        <w:ind w:left="907" w:hanging="907"/>
      </w:pPr>
      <w:rPr>
        <w:rFonts w:hint="eastAsia"/>
      </w:rPr>
    </w:lvl>
  </w:abstractNum>
  <w:abstractNum w:abstractNumId="7">
    <w:nsid w:val="66C436B7"/>
    <w:multiLevelType w:val="multilevel"/>
    <w:tmpl w:val="66C436B7"/>
    <w:lvl w:ilvl="0">
      <w:start w:val="1"/>
      <w:numFmt w:val="decimal"/>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71E08C33"/>
    <w:multiLevelType w:val="multilevel"/>
    <w:tmpl w:val="71E08C33"/>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
    <w:nsid w:val="7214DF8E"/>
    <w:multiLevelType w:val="multilevel"/>
    <w:tmpl w:val="7214DF8E"/>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nsid w:val="7B0953DC"/>
    <w:multiLevelType w:val="multilevel"/>
    <w:tmpl w:val="7B0953DC"/>
    <w:lvl w:ilvl="0">
      <w:start w:val="1"/>
      <w:numFmt w:val="chineseCountingThousand"/>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3"/>
  </w:num>
  <w:num w:numId="2">
    <w:abstractNumId w:val="7"/>
  </w:num>
  <w:num w:numId="3">
    <w:abstractNumId w:val="4"/>
  </w:num>
  <w:num w:numId="4">
    <w:abstractNumId w:val="10"/>
  </w:num>
  <w:num w:numId="5">
    <w:abstractNumId w:val="1"/>
  </w:num>
  <w:num w:numId="6">
    <w:abstractNumId w:val="8"/>
  </w:num>
  <w:num w:numId="7">
    <w:abstractNumId w:val="9"/>
  </w:num>
  <w:num w:numId="8">
    <w:abstractNumId w:val="2"/>
  </w:num>
  <w:num w:numId="9">
    <w:abstractNumId w:val="6"/>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saveSubsetFonts/>
  <w:trackRevisions/>
  <w:defaultTabStop w:val="420"/>
  <w:drawingGridHorizontalSpacing w:val="105"/>
  <w:drawingGridVerticalSpacing w:val="156"/>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IzMWVjNGU4NGE5ZDM5NWNjYWQ2NjI0NWY0ZjBiZm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qFormat="1"/>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qFormat="1"/>
    <w:lsdException w:name="toc 5" w:semiHidden="0" w:uiPriority="39" w:unhideWhenUsed="0" w:qFormat="1"/>
    <w:lsdException w:name="toc 6" w:semiHidden="0" w:uiPriority="39" w:unhideWhenUsed="0" w:qFormat="1"/>
    <w:lsdException w:name="toc 7" w:semiHidden="0" w:uiPriority="39" w:unhideWhenUsed="0" w:qFormat="1"/>
    <w:lsdException w:name="toc 8" w:semiHidden="0" w:uiPriority="39" w:unhideWhenUsed="0" w:qFormat="1"/>
    <w:lsdException w:name="toc 9" w:semiHidden="0" w:uiPriority="39" w:unhideWhenUsed="0" w:qFormat="1"/>
    <w:lsdException w:name="Normal Indent" w:semiHidden="0" w:uiPriority="0" w:unhideWhenUsed="0" w:qFormat="1"/>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qFormat="1"/>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qFormat="1"/>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qFormat="1"/>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qFormat="1"/>
    <w:lsdException w:name="Body Text First Indent" w:semiHidden="0" w:uiPriority="0" w:unhideWhenUsed="0"/>
    <w:lsdException w:name="Body Text First Indent 2"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qFormat="1"/>
    <w:lsdException w:name="Body Text Indent 3" w:semiHidden="0" w:uiPriority="0" w:unhideWhenUsed="0" w:qFormat="1"/>
    <w:lsdException w:name="Block Text" w:semiHidden="0" w:uiPriority="0" w:unhideWhenUsed="0"/>
    <w:lsdException w:name="Hyperlink" w:semiHidden="0" w:unhideWhenUsed="0" w:qFormat="1"/>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lsdException w:name="Normal (Web)" w:semiHidden="0" w:qFormat="1"/>
    <w:lsdException w:name="HTML Acronym" w:semiHidden="0" w:uiPriority="0" w:unhideWhenUsed="0" w:qFormat="1"/>
    <w:lsdException w:name="HTML Address" w:semiHidden="0" w:uiPriority="0" w:unhideWhenUsed="0"/>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qFormat="1"/>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semiHidden="0" w:qFormat="1"/>
    <w:lsdException w:name="annotation subject" w:semiHidden="0"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5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NormalIndent"/>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
    <w:qFormat/>
    <w:pPr>
      <w:keepNext/>
      <w:keepLines/>
      <w:spacing w:line="576" w:lineRule="auto"/>
      <w:outlineLvl w:val="0"/>
    </w:pPr>
    <w:rPr>
      <w:b/>
      <w:bCs/>
      <w:kern w:val="44"/>
      <w:sz w:val="44"/>
      <w:szCs w:val="44"/>
    </w:rPr>
  </w:style>
  <w:style w:type="paragraph" w:styleId="Heading2">
    <w:name w:val="heading 2"/>
    <w:basedOn w:val="Heading3"/>
    <w:next w:val="Heading4"/>
    <w:link w:val="2"/>
    <w:qFormat/>
    <w:pPr>
      <w:spacing w:line="415" w:lineRule="auto"/>
      <w:outlineLvl w:val="1"/>
    </w:pPr>
    <w:rPr>
      <w:sz w:val="32"/>
      <w:szCs w:val="32"/>
    </w:rPr>
  </w:style>
  <w:style w:type="paragraph" w:styleId="Heading3">
    <w:name w:val="heading 3"/>
    <w:basedOn w:val="Heading4"/>
    <w:next w:val="Normal"/>
    <w:link w:val="3"/>
    <w:qFormat/>
    <w:pPr>
      <w:keepNext/>
      <w:keepLines/>
      <w:spacing w:line="415" w:lineRule="auto"/>
      <w:outlineLvl w:val="2"/>
    </w:pPr>
    <w:rPr>
      <w:sz w:val="32"/>
      <w:szCs w:val="32"/>
    </w:rPr>
  </w:style>
  <w:style w:type="paragraph" w:styleId="Heading4">
    <w:name w:val="heading 4"/>
    <w:basedOn w:val="Normal"/>
    <w:next w:val="Normal"/>
    <w:qFormat/>
    <w:pPr>
      <w:keepNext/>
      <w:keepLines/>
      <w:spacing w:line="374" w:lineRule="auto"/>
      <w:outlineLvl w:val="3"/>
    </w:pPr>
    <w:rPr>
      <w:rFonts w:ascii="Arial" w:eastAsia="黑体" w:hAnsi="Arial"/>
      <w:b/>
      <w:bCs/>
      <w:sz w:val="28"/>
      <w:szCs w:val="28"/>
    </w:rPr>
  </w:style>
  <w:style w:type="paragraph" w:styleId="Heading5">
    <w:name w:val="heading 5"/>
    <w:basedOn w:val="Normal"/>
    <w:next w:val="Normal"/>
    <w:link w:val="5"/>
    <w:unhideWhenUsed/>
    <w:qFormat/>
    <w:pPr>
      <w:keepNext/>
      <w:keepLines/>
      <w:spacing w:line="372" w:lineRule="auto"/>
      <w:ind w:firstLine="402"/>
      <w:outlineLvl w:val="4"/>
    </w:pPr>
    <w:rPr>
      <w:b/>
      <w:sz w:val="28"/>
    </w:rPr>
  </w:style>
  <w:style w:type="paragraph" w:styleId="Heading6">
    <w:name w:val="heading 6"/>
    <w:basedOn w:val="Normal"/>
    <w:next w:val="Normal"/>
    <w:qFormat/>
    <w:pPr>
      <w:keepNext/>
      <w:keepLines/>
      <w:widowControl/>
      <w:tabs>
        <w:tab w:val="left" w:pos="1440"/>
      </w:tabs>
      <w:spacing w:line="319" w:lineRule="auto"/>
      <w:ind w:left="1152" w:hanging="1152"/>
      <w:jc w:val="left"/>
      <w:outlineLvl w:val="5"/>
    </w:pPr>
    <w:rPr>
      <w:rFonts w:ascii="Arial" w:eastAsia="黑体" w:hAnsi="Arial"/>
      <w:b/>
      <w:bCs/>
      <w:kern w:val="0"/>
      <w:sz w:val="24"/>
    </w:rPr>
  </w:style>
  <w:style w:type="paragraph" w:styleId="Heading7">
    <w:name w:val="heading 7"/>
    <w:basedOn w:val="Normal"/>
    <w:next w:val="Normal"/>
    <w:qFormat/>
    <w:pPr>
      <w:keepNext/>
      <w:keepLines/>
      <w:widowControl/>
      <w:tabs>
        <w:tab w:val="left" w:pos="2520"/>
      </w:tabs>
      <w:spacing w:line="319" w:lineRule="auto"/>
      <w:ind w:left="1296" w:hanging="1296"/>
      <w:jc w:val="left"/>
      <w:outlineLvl w:val="6"/>
    </w:pPr>
    <w:rPr>
      <w:b/>
      <w:bCs/>
      <w:kern w:val="0"/>
      <w:sz w:val="24"/>
    </w:rPr>
  </w:style>
  <w:style w:type="paragraph" w:styleId="Heading8">
    <w:name w:val="heading 8"/>
    <w:basedOn w:val="Normal"/>
    <w:next w:val="Normal"/>
    <w:qFormat/>
    <w:pPr>
      <w:keepNext/>
      <w:keepLines/>
      <w:widowControl/>
      <w:tabs>
        <w:tab w:val="left" w:pos="1440"/>
      </w:tabs>
      <w:spacing w:line="319" w:lineRule="auto"/>
      <w:ind w:left="1440" w:hanging="1440"/>
      <w:jc w:val="left"/>
      <w:outlineLvl w:val="7"/>
    </w:pPr>
    <w:rPr>
      <w:rFonts w:ascii="Arial" w:eastAsia="黑体" w:hAnsi="Arial"/>
      <w:kern w:val="0"/>
      <w:sz w:val="24"/>
    </w:rPr>
  </w:style>
  <w:style w:type="paragraph" w:styleId="Heading9">
    <w:name w:val="heading 9"/>
    <w:basedOn w:val="Normal"/>
    <w:next w:val="Normal"/>
    <w:qFormat/>
    <w:pPr>
      <w:keepNext/>
      <w:keepLines/>
      <w:widowControl/>
      <w:tabs>
        <w:tab w:val="left" w:pos="1584"/>
      </w:tabs>
      <w:spacing w:line="319" w:lineRule="auto"/>
      <w:ind w:left="1584" w:hanging="1584"/>
      <w:jc w:val="left"/>
      <w:outlineLvl w:val="8"/>
    </w:pPr>
    <w:rPr>
      <w:rFonts w:ascii="Arial" w:eastAsia="黑体" w:hAnsi="Arial"/>
      <w:kern w:val="0"/>
      <w:szCs w:val="21"/>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NormalIndent">
    <w:name w:val="Normal Indent"/>
    <w:basedOn w:val="Normal"/>
    <w:next w:val="BodyText"/>
    <w:link w:val="10"/>
    <w:qFormat/>
    <w:pPr>
      <w:ind w:firstLine="420" w:firstLineChars="200"/>
    </w:pPr>
  </w:style>
  <w:style w:type="paragraph" w:styleId="BodyText">
    <w:name w:val="Body Text"/>
    <w:basedOn w:val="Normal"/>
    <w:next w:val="Quote"/>
    <w:link w:val="a"/>
    <w:qFormat/>
  </w:style>
  <w:style w:type="paragraph" w:styleId="Quote">
    <w:name w:val="Quote"/>
    <w:next w:val="Normal"/>
    <w:qFormat/>
    <w:pPr>
      <w:wordWrap w:val="0"/>
      <w:spacing w:before="200" w:after="160"/>
      <w:ind w:left="864" w:right="864"/>
      <w:jc w:val="center"/>
    </w:pPr>
    <w:rPr>
      <w:rFonts w:ascii="Calibri" w:eastAsia="宋体" w:hAnsi="Calibri" w:cs="Times New Roman"/>
      <w:i/>
      <w:sz w:val="21"/>
      <w:lang w:val="en-US" w:eastAsia="zh-CN" w:bidi="ar-SA"/>
    </w:rPr>
  </w:style>
  <w:style w:type="paragraph" w:styleId="TOC7">
    <w:name w:val="toc 7"/>
    <w:basedOn w:val="Normal"/>
    <w:next w:val="Normal"/>
    <w:uiPriority w:val="39"/>
    <w:qFormat/>
    <w:pPr>
      <w:ind w:left="1260"/>
      <w:jc w:val="left"/>
    </w:pPr>
    <w:rPr>
      <w:sz w:val="18"/>
      <w:szCs w:val="18"/>
    </w:rPr>
  </w:style>
  <w:style w:type="paragraph" w:styleId="Index8">
    <w:name w:val="index 8"/>
    <w:next w:val="Normal"/>
    <w:uiPriority w:val="99"/>
    <w:unhideWhenUsed/>
    <w:qFormat/>
    <w:pPr>
      <w:widowControl w:val="0"/>
      <w:ind w:left="1400" w:leftChars="1400"/>
      <w:jc w:val="both"/>
    </w:pPr>
    <w:rPr>
      <w:rFonts w:ascii="Times New Roman" w:eastAsia="宋体" w:hAnsi="Times New Roman" w:cs="Times New Roman"/>
      <w:kern w:val="2"/>
      <w:sz w:val="21"/>
      <w:szCs w:val="24"/>
      <w:lang w:val="en-US" w:eastAsia="zh-CN" w:bidi="ar-SA"/>
    </w:rPr>
  </w:style>
  <w:style w:type="paragraph" w:styleId="DocumentMap">
    <w:name w:val="Document Map"/>
    <w:basedOn w:val="Normal"/>
    <w:qFormat/>
    <w:pPr>
      <w:shd w:val="clear" w:color="auto" w:fill="000080"/>
    </w:pPr>
  </w:style>
  <w:style w:type="paragraph" w:styleId="CommentText">
    <w:name w:val="annotation text"/>
    <w:basedOn w:val="Normal"/>
    <w:link w:val="11"/>
    <w:qFormat/>
    <w:pPr>
      <w:jc w:val="left"/>
    </w:pPr>
  </w:style>
  <w:style w:type="paragraph" w:styleId="BodyText3">
    <w:name w:val="Body Text 3"/>
    <w:basedOn w:val="Normal"/>
    <w:qFormat/>
    <w:rPr>
      <w:rFonts w:ascii="宋体"/>
      <w:sz w:val="24"/>
      <w:szCs w:val="20"/>
    </w:rPr>
  </w:style>
  <w:style w:type="paragraph" w:styleId="BodyTextIndent">
    <w:name w:val="Body Text Indent"/>
    <w:basedOn w:val="Normal"/>
    <w:link w:val="a0"/>
    <w:qFormat/>
    <w:pPr>
      <w:ind w:left="420" w:leftChars="200"/>
    </w:pPr>
  </w:style>
  <w:style w:type="paragraph" w:styleId="TOC5">
    <w:name w:val="toc 5"/>
    <w:basedOn w:val="Normal"/>
    <w:next w:val="Normal"/>
    <w:uiPriority w:val="39"/>
    <w:qFormat/>
    <w:pPr>
      <w:ind w:left="840"/>
      <w:jc w:val="left"/>
    </w:pPr>
    <w:rPr>
      <w:sz w:val="18"/>
      <w:szCs w:val="18"/>
    </w:rPr>
  </w:style>
  <w:style w:type="paragraph" w:styleId="TOC3">
    <w:name w:val="toc 3"/>
    <w:basedOn w:val="Normal"/>
    <w:next w:val="Normal"/>
    <w:uiPriority w:val="39"/>
    <w:qFormat/>
    <w:pPr>
      <w:ind w:left="420"/>
      <w:jc w:val="left"/>
    </w:pPr>
    <w:rPr>
      <w:i/>
      <w:iCs/>
      <w:sz w:val="20"/>
      <w:szCs w:val="20"/>
    </w:rPr>
  </w:style>
  <w:style w:type="paragraph" w:styleId="PlainText">
    <w:name w:val="Plain Text"/>
    <w:basedOn w:val="Normal"/>
    <w:link w:val="a1"/>
    <w:qFormat/>
    <w:rPr>
      <w:rFonts w:ascii="Courier New" w:hAnsi="Courier New"/>
      <w:szCs w:val="20"/>
    </w:rPr>
  </w:style>
  <w:style w:type="paragraph" w:styleId="TOC8">
    <w:name w:val="toc 8"/>
    <w:basedOn w:val="Normal"/>
    <w:next w:val="Normal"/>
    <w:uiPriority w:val="39"/>
    <w:qFormat/>
    <w:pPr>
      <w:ind w:left="1470"/>
      <w:jc w:val="left"/>
    </w:pPr>
    <w:rPr>
      <w:sz w:val="18"/>
      <w:szCs w:val="18"/>
    </w:rPr>
  </w:style>
  <w:style w:type="paragraph" w:styleId="Date">
    <w:name w:val="Date"/>
    <w:basedOn w:val="Normal"/>
    <w:next w:val="Normal"/>
    <w:qFormat/>
    <w:rPr>
      <w:sz w:val="24"/>
      <w:szCs w:val="20"/>
    </w:rPr>
  </w:style>
  <w:style w:type="paragraph" w:styleId="BodyTextIndent2">
    <w:name w:val="Body Text Indent 2"/>
    <w:basedOn w:val="Normal"/>
    <w:link w:val="20"/>
    <w:unhideWhenUsed/>
    <w:qFormat/>
    <w:pPr>
      <w:spacing w:after="120" w:line="480" w:lineRule="auto"/>
      <w:ind w:left="420" w:leftChars="200"/>
    </w:pPr>
  </w:style>
  <w:style w:type="paragraph" w:styleId="BalloonText">
    <w:name w:val="Balloon Text"/>
    <w:basedOn w:val="Normal"/>
    <w:qFormat/>
    <w:rPr>
      <w:sz w:val="18"/>
      <w:szCs w:val="18"/>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jc w:val="left"/>
    </w:pPr>
    <w:rPr>
      <w:b/>
      <w:bCs/>
      <w:caps/>
      <w:sz w:val="20"/>
      <w:szCs w:val="20"/>
    </w:rPr>
  </w:style>
  <w:style w:type="paragraph" w:styleId="TOC4">
    <w:name w:val="toc 4"/>
    <w:basedOn w:val="Normal"/>
    <w:next w:val="Normal"/>
    <w:uiPriority w:val="39"/>
    <w:qFormat/>
    <w:pPr>
      <w:ind w:left="630"/>
      <w:jc w:val="left"/>
    </w:pPr>
    <w:rPr>
      <w:sz w:val="18"/>
      <w:szCs w:val="18"/>
    </w:rPr>
  </w:style>
  <w:style w:type="paragraph" w:styleId="FootnoteText">
    <w:name w:val="footnote text"/>
    <w:basedOn w:val="Normal"/>
    <w:qFormat/>
    <w:rPr>
      <w:sz w:val="20"/>
      <w:szCs w:val="20"/>
    </w:rPr>
  </w:style>
  <w:style w:type="paragraph" w:styleId="TOC6">
    <w:name w:val="toc 6"/>
    <w:basedOn w:val="Normal"/>
    <w:next w:val="Normal"/>
    <w:uiPriority w:val="39"/>
    <w:qFormat/>
    <w:pPr>
      <w:ind w:left="1050"/>
      <w:jc w:val="left"/>
    </w:pPr>
    <w:rPr>
      <w:sz w:val="18"/>
      <w:szCs w:val="18"/>
    </w:rPr>
  </w:style>
  <w:style w:type="paragraph" w:styleId="BodyTextIndent3">
    <w:name w:val="Body Text Indent 3"/>
    <w:basedOn w:val="Normal"/>
    <w:qFormat/>
    <w:pPr>
      <w:ind w:left="420" w:leftChars="200"/>
    </w:pPr>
    <w:rPr>
      <w:sz w:val="16"/>
      <w:szCs w:val="16"/>
    </w:rPr>
  </w:style>
  <w:style w:type="paragraph" w:styleId="TableofFigures">
    <w:name w:val="table of figures"/>
    <w:basedOn w:val="Normal"/>
    <w:next w:val="Normal"/>
    <w:qFormat/>
    <w:pPr>
      <w:ind w:left="200" w:hanging="200" w:leftChars="200" w:hangingChars="200"/>
    </w:pPr>
  </w:style>
  <w:style w:type="paragraph" w:styleId="TOC2">
    <w:name w:val="toc 2"/>
    <w:basedOn w:val="Normal"/>
    <w:next w:val="Normal"/>
    <w:uiPriority w:val="39"/>
    <w:qFormat/>
    <w:pPr>
      <w:ind w:left="210"/>
      <w:jc w:val="left"/>
    </w:pPr>
    <w:rPr>
      <w:smallCaps/>
      <w:sz w:val="20"/>
      <w:szCs w:val="20"/>
    </w:rPr>
  </w:style>
  <w:style w:type="paragraph" w:styleId="TOC9">
    <w:name w:val="toc 9"/>
    <w:basedOn w:val="Normal"/>
    <w:next w:val="Normal"/>
    <w:uiPriority w:val="39"/>
    <w:qFormat/>
    <w:pPr>
      <w:ind w:left="1680"/>
      <w:jc w:val="left"/>
    </w:pPr>
    <w:rPr>
      <w:sz w:val="18"/>
      <w:szCs w:val="18"/>
    </w:rPr>
  </w:style>
  <w:style w:type="paragraph" w:styleId="BodyText2">
    <w:name w:val="Body Text 2"/>
    <w:basedOn w:val="Normal"/>
    <w:qFormat/>
    <w:pPr>
      <w:spacing w:line="360" w:lineRule="auto"/>
    </w:pPr>
    <w:rPr>
      <w:sz w:val="24"/>
    </w:rPr>
  </w:style>
  <w:style w:type="paragraph" w:styleId="HTMLPreformatted">
    <w:name w:val="HTML Preformatted"/>
    <w:basedOn w:val="Normal"/>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paragraph" w:styleId="Title">
    <w:name w:val="Title"/>
    <w:basedOn w:val="Normal"/>
    <w:next w:val="Normal"/>
    <w:qFormat/>
    <w:pPr>
      <w:adjustRightInd w:val="0"/>
      <w:spacing w:line="420" w:lineRule="atLeast"/>
      <w:jc w:val="center"/>
      <w:textAlignment w:val="baseline"/>
      <w:outlineLvl w:val="0"/>
    </w:pPr>
    <w:rPr>
      <w:rFonts w:ascii="Arial" w:hAnsi="Arial"/>
      <w:b/>
      <w:kern w:val="0"/>
      <w:sz w:val="32"/>
      <w:szCs w:val="20"/>
    </w:rPr>
  </w:style>
  <w:style w:type="paragraph" w:styleId="CommentSubject">
    <w:name w:val="annotation subject"/>
    <w:basedOn w:val="CommentText"/>
    <w:next w:val="CommentText"/>
    <w:qFormat/>
    <w:rPr>
      <w:b/>
      <w:bCs/>
    </w:rPr>
  </w:style>
  <w:style w:type="paragraph" w:styleId="BodyTextFirstIndent2">
    <w:name w:val="Body Text First Indent 2"/>
    <w:basedOn w:val="BodyTextIndent"/>
    <w:qFormat/>
    <w:pPr>
      <w:ind w:firstLine="420"/>
    </w:p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qFormat/>
  </w:style>
  <w:style w:type="character" w:styleId="PageNumber">
    <w:name w:val="page number"/>
    <w:basedOn w:val="DefaultParagraphFont"/>
    <w:qFormat/>
  </w:style>
  <w:style w:type="character" w:styleId="FollowedHyperlink">
    <w:name w:val="FollowedHyperlink"/>
    <w:basedOn w:val="DefaultParagraphFont"/>
    <w:qFormat/>
    <w:rPr>
      <w:color w:val="800080"/>
      <w:u w:val="none"/>
    </w:rPr>
  </w:style>
  <w:style w:type="character" w:styleId="Emphasis">
    <w:name w:val="Emphasis"/>
    <w:basedOn w:val="DefaultParagraphFont"/>
    <w:qFormat/>
  </w:style>
  <w:style w:type="character" w:styleId="HTMLDefinition">
    <w:name w:val="HTML Definition"/>
    <w:basedOn w:val="DefaultParagraphFont"/>
    <w:qFormat/>
  </w:style>
  <w:style w:type="character" w:styleId="HTMLTypewriter">
    <w:name w:val="HTML Typewriter"/>
    <w:basedOn w:val="DefaultParagraphFont"/>
    <w:qFormat/>
    <w:rPr>
      <w:rFonts w:ascii="monospace" w:eastAsia="monospace" w:hAnsi="monospace" w:cs="monospace"/>
      <w:sz w:val="20"/>
    </w:rPr>
  </w:style>
  <w:style w:type="character" w:styleId="HTMLAcronym">
    <w:name w:val="HTML Acronym"/>
    <w:basedOn w:val="DefaultParagraphFont"/>
    <w:qFormat/>
    <w:rPr>
      <w:bdr w:val="nil"/>
    </w:rPr>
  </w:style>
  <w:style w:type="character" w:styleId="HTMLVariable">
    <w:name w:val="HTML Variable"/>
    <w:basedOn w:val="DefaultParagraphFont"/>
    <w:qFormat/>
  </w:style>
  <w:style w:type="character" w:styleId="Hyperlink">
    <w:name w:val="Hyperlink"/>
    <w:basedOn w:val="DefaultParagraphFont"/>
    <w:uiPriority w:val="99"/>
    <w:qFormat/>
    <w:rPr>
      <w:color w:val="0000FF"/>
      <w:u w:val="none"/>
    </w:rPr>
  </w:style>
  <w:style w:type="character" w:styleId="HTMLCode">
    <w:name w:val="HTML Code"/>
    <w:basedOn w:val="DefaultParagraphFont"/>
    <w:qFormat/>
    <w:rPr>
      <w:rFonts w:ascii="monospace" w:eastAsia="monospace" w:hAnsi="monospace" w:cs="monospace"/>
      <w:sz w:val="20"/>
      <w:bdr w:val="nil"/>
    </w:rPr>
  </w:style>
  <w:style w:type="character" w:styleId="CommentReference">
    <w:name w:val="annotation reference"/>
    <w:basedOn w:val="DefaultParagraphFont"/>
    <w:qFormat/>
    <w:rPr>
      <w:sz w:val="21"/>
      <w:szCs w:val="21"/>
    </w:rPr>
  </w:style>
  <w:style w:type="character" w:styleId="HTMLCite">
    <w:name w:val="HTML Cite"/>
    <w:basedOn w:val="DefaultParagraphFont"/>
    <w:qFormat/>
  </w:style>
  <w:style w:type="character" w:styleId="FootnoteReference">
    <w:name w:val="footnote reference"/>
    <w:basedOn w:val="DefaultParagraphFont"/>
    <w:qFormat/>
    <w:rPr>
      <w:vertAlign w:val="superscript"/>
    </w:rPr>
  </w:style>
  <w:style w:type="character" w:styleId="HTMLKeyboard">
    <w:name w:val="HTML Keyboard"/>
    <w:basedOn w:val="DefaultParagraphFont"/>
    <w:qFormat/>
    <w:rPr>
      <w:rFonts w:ascii="monospace" w:eastAsia="monospace" w:hAnsi="monospace" w:cs="monospace" w:hint="default"/>
      <w:sz w:val="20"/>
    </w:rPr>
  </w:style>
  <w:style w:type="character" w:styleId="HTMLSample">
    <w:name w:val="HTML Sample"/>
    <w:basedOn w:val="DefaultParagraphFont"/>
    <w:qFormat/>
    <w:rPr>
      <w:rFonts w:ascii="monospace" w:eastAsia="monospace" w:hAnsi="monospace" w:cs="monospace" w:hint="default"/>
    </w:rPr>
  </w:style>
  <w:style w:type="character" w:customStyle="1" w:styleId="1">
    <w:name w:val="标题 1 字符"/>
    <w:basedOn w:val="DefaultParagraphFont"/>
    <w:link w:val="Heading1"/>
    <w:qFormat/>
    <w:rPr>
      <w:rFonts w:eastAsia="宋体"/>
      <w:b/>
      <w:bCs/>
      <w:kern w:val="44"/>
      <w:sz w:val="44"/>
      <w:szCs w:val="44"/>
      <w:lang w:val="en-US" w:eastAsia="zh-CN" w:bidi="ar-SA"/>
    </w:rPr>
  </w:style>
  <w:style w:type="character" w:customStyle="1" w:styleId="2">
    <w:name w:val="标题 2 字符"/>
    <w:basedOn w:val="DefaultParagraphFont"/>
    <w:link w:val="Heading2"/>
    <w:qFormat/>
    <w:rPr>
      <w:rFonts w:ascii="Arial" w:eastAsia="黑体" w:hAnsi="Arial"/>
      <w:b/>
      <w:bCs/>
      <w:kern w:val="2"/>
      <w:sz w:val="32"/>
      <w:szCs w:val="32"/>
      <w:lang w:val="en-US" w:eastAsia="zh-CN" w:bidi="ar-SA"/>
    </w:rPr>
  </w:style>
  <w:style w:type="character" w:customStyle="1" w:styleId="3">
    <w:name w:val="标题 3 字符"/>
    <w:basedOn w:val="DefaultParagraphFont"/>
    <w:link w:val="Heading3"/>
    <w:qFormat/>
    <w:rPr>
      <w:b/>
      <w:bCs/>
      <w:kern w:val="2"/>
      <w:sz w:val="32"/>
      <w:szCs w:val="32"/>
    </w:rPr>
  </w:style>
  <w:style w:type="character" w:customStyle="1" w:styleId="5">
    <w:name w:val="标题 5 字符"/>
    <w:basedOn w:val="DefaultParagraphFont"/>
    <w:link w:val="Heading5"/>
    <w:semiHidden/>
    <w:qFormat/>
    <w:rPr>
      <w:b/>
      <w:kern w:val="2"/>
      <w:sz w:val="28"/>
      <w:szCs w:val="24"/>
    </w:rPr>
  </w:style>
  <w:style w:type="character" w:customStyle="1" w:styleId="10">
    <w:name w:val="正文缩进 字符1"/>
    <w:link w:val="NormalIndent"/>
    <w:qFormat/>
    <w:rPr>
      <w:kern w:val="2"/>
      <w:sz w:val="21"/>
      <w:szCs w:val="24"/>
    </w:rPr>
  </w:style>
  <w:style w:type="character" w:customStyle="1" w:styleId="a">
    <w:name w:val="正文文本 字符"/>
    <w:basedOn w:val="DefaultParagraphFont"/>
    <w:link w:val="BodyText"/>
    <w:qFormat/>
    <w:rPr>
      <w:kern w:val="2"/>
      <w:sz w:val="21"/>
      <w:szCs w:val="24"/>
    </w:rPr>
  </w:style>
  <w:style w:type="character" w:customStyle="1" w:styleId="11">
    <w:name w:val="批注文字 字符1"/>
    <w:basedOn w:val="DefaultParagraphFont"/>
    <w:link w:val="CommentText"/>
    <w:qFormat/>
    <w:rPr>
      <w:rFonts w:eastAsia="宋体"/>
      <w:kern w:val="2"/>
      <w:sz w:val="21"/>
      <w:szCs w:val="24"/>
      <w:lang w:val="en-US" w:eastAsia="zh-CN" w:bidi="ar-SA"/>
    </w:rPr>
  </w:style>
  <w:style w:type="character" w:customStyle="1" w:styleId="a0">
    <w:name w:val="正文文本缩进 字符"/>
    <w:link w:val="BodyTextIndent"/>
    <w:qFormat/>
    <w:rPr>
      <w:kern w:val="2"/>
      <w:sz w:val="21"/>
      <w:szCs w:val="24"/>
    </w:rPr>
  </w:style>
  <w:style w:type="character" w:customStyle="1" w:styleId="a1">
    <w:name w:val="纯文本 字符"/>
    <w:link w:val="PlainText"/>
    <w:qFormat/>
    <w:rPr>
      <w:rFonts w:ascii="Courier New" w:hAnsi="Courier New"/>
      <w:kern w:val="2"/>
      <w:sz w:val="21"/>
    </w:rPr>
  </w:style>
  <w:style w:type="character" w:customStyle="1" w:styleId="20">
    <w:name w:val="正文文本缩进 2 字符"/>
    <w:basedOn w:val="DefaultParagraphFont"/>
    <w:link w:val="BodyTextIndent2"/>
    <w:qFormat/>
    <w:rPr>
      <w:kern w:val="2"/>
      <w:sz w:val="21"/>
      <w:szCs w:val="24"/>
    </w:rPr>
  </w:style>
  <w:style w:type="character" w:customStyle="1" w:styleId="l-tab-strip-text2">
    <w:name w:val="l-tab-strip-text2"/>
    <w:basedOn w:val="DefaultParagraphFont"/>
    <w:qFormat/>
    <w:rPr>
      <w:rFonts w:ascii="Tahoma" w:eastAsia="Tahoma" w:hAnsi="Tahoma" w:cs="Tahoma"/>
      <w:color w:val="416AA3"/>
      <w:sz w:val="18"/>
      <w:szCs w:val="18"/>
    </w:rPr>
  </w:style>
  <w:style w:type="character" w:customStyle="1" w:styleId="CharChar7">
    <w:name w:val="Char Char7"/>
    <w:basedOn w:val="DefaultParagraphFont"/>
    <w:qFormat/>
    <w:rPr>
      <w:rFonts w:ascii="Arial" w:eastAsia="黑体" w:hAnsi="Arial"/>
      <w:b/>
      <w:bCs/>
      <w:kern w:val="2"/>
      <w:sz w:val="32"/>
      <w:szCs w:val="32"/>
      <w:lang w:val="en-US" w:eastAsia="zh-CN" w:bidi="ar-SA"/>
    </w:rPr>
  </w:style>
  <w:style w:type="character" w:customStyle="1" w:styleId="l-tab-strip-text4">
    <w:name w:val="l-tab-strip-text4"/>
    <w:basedOn w:val="DefaultParagraphFont"/>
    <w:qFormat/>
    <w:rPr>
      <w:color w:val="15428B"/>
    </w:rPr>
  </w:style>
  <w:style w:type="character" w:customStyle="1" w:styleId="l-tab-strip-text3">
    <w:name w:val="l-tab-strip-text3"/>
    <w:basedOn w:val="DefaultParagraphFont"/>
    <w:qFormat/>
  </w:style>
  <w:style w:type="character" w:customStyle="1" w:styleId="font161">
    <w:name w:val="font161"/>
    <w:basedOn w:val="DefaultParagraphFont"/>
    <w:qFormat/>
    <w:rPr>
      <w:b/>
      <w:bCs/>
      <w:sz w:val="32"/>
      <w:szCs w:val="32"/>
    </w:rPr>
  </w:style>
  <w:style w:type="character" w:customStyle="1" w:styleId="l-tab-strip-text1">
    <w:name w:val="l-tab-strip-text1"/>
    <w:basedOn w:val="DefaultParagraphFont"/>
    <w:qFormat/>
  </w:style>
  <w:style w:type="character" w:customStyle="1" w:styleId="a2">
    <w:name w:val="批注文字 字符"/>
    <w:qFormat/>
    <w:rPr>
      <w:rFonts w:ascii="宋体"/>
      <w:sz w:val="34"/>
    </w:rPr>
  </w:style>
  <w:style w:type="character" w:customStyle="1" w:styleId="l-tab-strip-text">
    <w:name w:val="l-tab-strip-text"/>
    <w:basedOn w:val="DefaultParagraphFont"/>
    <w:qFormat/>
  </w:style>
  <w:style w:type="character" w:customStyle="1" w:styleId="CharChar2">
    <w:name w:val="Char Char2"/>
    <w:basedOn w:val="DefaultParagraphFont"/>
    <w:qFormat/>
    <w:rPr>
      <w:rFonts w:eastAsia="宋体"/>
      <w:kern w:val="2"/>
      <w:sz w:val="21"/>
      <w:szCs w:val="24"/>
      <w:lang w:val="en-US" w:eastAsia="zh-CN" w:bidi="ar-SA"/>
    </w:rPr>
  </w:style>
  <w:style w:type="character" w:customStyle="1" w:styleId="a3">
    <w:name w:val="列表段落 字符"/>
    <w:basedOn w:val="DefaultParagraphFont"/>
    <w:link w:val="ListParagraph"/>
    <w:uiPriority w:val="34"/>
    <w:qFormat/>
    <w:rPr>
      <w:kern w:val="2"/>
      <w:sz w:val="21"/>
      <w:szCs w:val="24"/>
    </w:rPr>
  </w:style>
  <w:style w:type="paragraph" w:styleId="ListParagraph">
    <w:name w:val="List Paragraph"/>
    <w:basedOn w:val="Normal"/>
    <w:link w:val="a3"/>
    <w:uiPriority w:val="34"/>
    <w:unhideWhenUsed/>
    <w:qFormat/>
    <w:pPr>
      <w:ind w:firstLine="420" w:firstLineChars="200"/>
    </w:pPr>
  </w:style>
  <w:style w:type="character" w:customStyle="1" w:styleId="l-tab-strip-text5">
    <w:name w:val="l-tab-strip-text5"/>
    <w:basedOn w:val="DefaultParagraphFont"/>
    <w:qFormat/>
    <w:rPr>
      <w:b/>
      <w:color w:val="15428B"/>
    </w:rPr>
  </w:style>
  <w:style w:type="character" w:customStyle="1" w:styleId="CharChar">
    <w:name w:val="Char Char"/>
    <w:basedOn w:val="DefaultParagraphFont"/>
    <w:qFormat/>
    <w:rPr>
      <w:rFonts w:ascii="Arial" w:eastAsia="黑体" w:hAnsi="Arial"/>
      <w:b/>
      <w:bCs/>
      <w:kern w:val="2"/>
      <w:sz w:val="32"/>
      <w:szCs w:val="32"/>
      <w:lang w:val="en-US" w:eastAsia="zh-CN" w:bidi="ar-SA"/>
    </w:rPr>
  </w:style>
  <w:style w:type="character" w:customStyle="1" w:styleId="CharChar8">
    <w:name w:val="Char Char8"/>
    <w:basedOn w:val="DefaultParagraphFont"/>
    <w:qFormat/>
    <w:rPr>
      <w:rFonts w:ascii="Arial" w:eastAsia="黑体" w:hAnsi="Arial"/>
      <w:b/>
      <w:bCs/>
      <w:kern w:val="2"/>
      <w:sz w:val="32"/>
      <w:szCs w:val="32"/>
      <w:lang w:val="en-US" w:eastAsia="zh-CN" w:bidi="ar-SA"/>
    </w:rPr>
  </w:style>
  <w:style w:type="character" w:customStyle="1" w:styleId="font31">
    <w:name w:val="font31"/>
    <w:basedOn w:val="DefaultParagraphFont"/>
    <w:qFormat/>
    <w:rPr>
      <w:rFonts w:ascii="宋体" w:eastAsia="宋体" w:hAnsi="宋体" w:cs="宋体" w:hint="eastAsia"/>
      <w:color w:val="FF0000"/>
      <w:sz w:val="22"/>
      <w:szCs w:val="22"/>
      <w:u w:val="none"/>
    </w:rPr>
  </w:style>
  <w:style w:type="character" w:customStyle="1" w:styleId="a4">
    <w:name w:val="正文缩进 字符"/>
    <w:qFormat/>
    <w:rPr>
      <w:rFonts w:eastAsia="宋体"/>
      <w:kern w:val="2"/>
      <w:sz w:val="21"/>
      <w:lang w:val="en-US" w:eastAsia="zh-CN" w:bidi="ar-SA"/>
    </w:rPr>
  </w:style>
  <w:style w:type="paragraph" w:customStyle="1" w:styleId="2TimesNewRoman5020">
    <w:name w:val="样式 标题 2 + Times New Roman 四号 非加粗 段前: 5 磅 段后: 0 磅 行距: 固定值 20..."/>
    <w:basedOn w:val="Heading2"/>
    <w:qFormat/>
    <w:pPr>
      <w:spacing w:line="400" w:lineRule="exact"/>
    </w:pPr>
    <w:rPr>
      <w:rFonts w:cs="宋体"/>
      <w:sz w:val="28"/>
      <w:szCs w:val="20"/>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lang w:val="en-US" w:eastAsia="zh-CN" w:bidi="ar-SA"/>
    </w:rPr>
  </w:style>
  <w:style w:type="paragraph" w:customStyle="1" w:styleId="4">
    <w:name w:val="样式4"/>
    <w:basedOn w:val="Heading3"/>
    <w:qFormat/>
    <w:rPr>
      <w:rFonts w:eastAsia="Arial"/>
    </w:rPr>
  </w:style>
  <w:style w:type="paragraph" w:customStyle="1" w:styleId="Style3">
    <w:name w:val="_Style 3"/>
    <w:basedOn w:val="Normal"/>
    <w:next w:val="BodyTextIndent3"/>
    <w:qFormat/>
    <w:pPr>
      <w:widowControl/>
      <w:ind w:left="720"/>
      <w:contextualSpacing/>
      <w:jc w:val="left"/>
    </w:pPr>
    <w:rPr>
      <w:kern w:val="0"/>
      <w:sz w:val="24"/>
    </w:rPr>
  </w:style>
  <w:style w:type="paragraph" w:customStyle="1" w:styleId="a5">
    <w:name w:val="表格文字"/>
    <w:basedOn w:val="Normal"/>
    <w:qFormat/>
    <w:pPr>
      <w:adjustRightInd w:val="0"/>
      <w:spacing w:line="420" w:lineRule="atLeast"/>
      <w:jc w:val="left"/>
      <w:textAlignment w:val="baseline"/>
    </w:pPr>
    <w:rPr>
      <w:kern w:val="0"/>
      <w:szCs w:val="20"/>
    </w:rPr>
  </w:style>
  <w:style w:type="paragraph" w:customStyle="1" w:styleId="CharCharCharCharChar">
    <w:name w:val="Char Char Char Char Char"/>
    <w:basedOn w:val="Normal"/>
    <w:qFormat/>
    <w:rPr>
      <w:rFonts w:ascii="Tahoma" w:hAnsi="Tahoma"/>
      <w:sz w:val="24"/>
      <w:szCs w:val="20"/>
    </w:rPr>
  </w:style>
  <w:style w:type="paragraph" w:customStyle="1" w:styleId="a6">
    <w:name w:val="文档正文"/>
    <w:basedOn w:val="Normal"/>
    <w:qFormat/>
    <w:pPr>
      <w:adjustRightInd w:val="0"/>
      <w:spacing w:line="480" w:lineRule="atLeast"/>
      <w:ind w:firstLine="567" w:firstLineChars="200"/>
      <w:textAlignment w:val="baseline"/>
    </w:pPr>
    <w:rPr>
      <w:rFonts w:ascii="长城仿宋"/>
      <w:kern w:val="0"/>
      <w:szCs w:val="20"/>
    </w:rPr>
  </w:style>
  <w:style w:type="paragraph" w:customStyle="1" w:styleId="12">
    <w:name w:val="1"/>
    <w:basedOn w:val="Normal"/>
    <w:next w:val="Normal"/>
    <w:qFormat/>
  </w:style>
  <w:style w:type="paragraph" w:customStyle="1" w:styleId="30">
    <w:name w:val="样式3"/>
    <w:basedOn w:val="Heading3"/>
    <w:qFormat/>
    <w:rPr>
      <w:rFonts w:eastAsia="Arial"/>
    </w:rPr>
  </w:style>
  <w:style w:type="paragraph" w:customStyle="1" w:styleId="13">
    <w:name w:val="修订1"/>
    <w:uiPriority w:val="99"/>
    <w:unhideWhenUsed/>
    <w:qFormat/>
    <w:rPr>
      <w:rFonts w:ascii="Times New Roman" w:eastAsia="宋体" w:hAnsi="Times New Roman" w:cs="Times New Roman"/>
      <w:kern w:val="2"/>
      <w:sz w:val="21"/>
      <w:szCs w:val="24"/>
      <w:lang w:val="en-US" w:eastAsia="zh-CN" w:bidi="ar-SA"/>
    </w:rPr>
  </w:style>
  <w:style w:type="paragraph" w:customStyle="1" w:styleId="21">
    <w:name w:val="样式2"/>
    <w:basedOn w:val="Heading3"/>
    <w:qFormat/>
  </w:style>
  <w:style w:type="paragraph" w:customStyle="1" w:styleId="14">
    <w:name w:val="样式1"/>
    <w:basedOn w:val="Heading3"/>
    <w:qFormat/>
    <w:rPr>
      <w:rFonts w:eastAsia="Arial"/>
    </w:rPr>
  </w:style>
  <w:style w:type="paragraph" w:customStyle="1" w:styleId="15">
    <w:name w:val="列出段落1"/>
    <w:basedOn w:val="Normal"/>
    <w:qFormat/>
    <w:pPr>
      <w:ind w:firstLine="420" w:firstLineChars="200"/>
    </w:pPr>
  </w:style>
  <w:style w:type="paragraph" w:customStyle="1" w:styleId="a7">
    <w:name w:val="表格"/>
    <w:basedOn w:val="Normal"/>
    <w:qFormat/>
    <w:pPr>
      <w:jc w:val="center"/>
      <w:textAlignment w:val="center"/>
    </w:pPr>
    <w:rPr>
      <w:rFonts w:ascii="华文细黑" w:hAnsi="华文细黑"/>
      <w:kern w:val="0"/>
      <w:szCs w:val="20"/>
    </w:rPr>
  </w:style>
  <w:style w:type="paragraph" w:customStyle="1" w:styleId="Char">
    <w:name w:val="Char"/>
    <w:basedOn w:val="Normal"/>
    <w:qFormat/>
    <w:pPr>
      <w:tabs>
        <w:tab w:val="left" w:pos="360"/>
      </w:tabs>
    </w:pPr>
    <w:rPr>
      <w:sz w:val="24"/>
    </w:rPr>
  </w:style>
  <w:style w:type="paragraph" w:customStyle="1" w:styleId="378020">
    <w:name w:val="样式 标题 3 + (中文) 黑体 小四 非加粗 段前: 7.8 磅 段后: 0 磅 行距: 固定值 20 磅"/>
    <w:basedOn w:val="Heading3"/>
    <w:qFormat/>
    <w:pPr>
      <w:spacing w:line="400" w:lineRule="exact"/>
    </w:pPr>
    <w:rPr>
      <w:rFonts w:eastAsia="黑体" w:cs="宋体"/>
      <w:b w:val="0"/>
      <w:bCs w:val="0"/>
      <w:sz w:val="24"/>
      <w:szCs w:val="20"/>
    </w:rPr>
  </w:style>
  <w:style w:type="paragraph" w:customStyle="1" w:styleId="TOC20">
    <w:name w:val="TOC2"/>
    <w:basedOn w:val="Normal"/>
    <w:next w:val="Normal"/>
    <w:qFormat/>
    <w:pPr>
      <w:ind w:left="420" w:leftChars="200"/>
      <w:textAlignment w:val="baseline"/>
    </w:pPr>
  </w:style>
  <w:style w:type="paragraph" w:customStyle="1" w:styleId="16620">
    <w:name w:val="样式 标题 1 + 黑体 三号 非加粗 居中 段前: 6 磅 段后: 6 磅 行距: 固定值 20 磅"/>
    <w:basedOn w:val="Heading1"/>
    <w:qFormat/>
    <w:pPr>
      <w:spacing w:line="400" w:lineRule="exact"/>
      <w:jc w:val="center"/>
    </w:pPr>
    <w:rPr>
      <w:rFonts w:ascii="黑体" w:eastAsia="黑体" w:hAnsi="黑体" w:cs="宋体"/>
      <w:b w:val="0"/>
      <w:bCs w:val="0"/>
      <w:sz w:val="32"/>
      <w:szCs w:val="20"/>
    </w:rPr>
  </w:style>
  <w:style w:type="paragraph" w:customStyle="1" w:styleId="6">
    <w:name w:val="6'"/>
    <w:basedOn w:val="Normal"/>
    <w:qFormat/>
    <w:pPr>
      <w:autoSpaceDE w:val="0"/>
      <w:autoSpaceDN w:val="0"/>
      <w:adjustRightInd w:val="0"/>
      <w:snapToGrid w:val="0"/>
      <w:spacing w:line="320" w:lineRule="exact"/>
      <w:jc w:val="center"/>
      <w:textAlignment w:val="baseline"/>
    </w:pPr>
    <w:rPr>
      <w:spacing w:val="20"/>
      <w:kern w:val="28"/>
      <w:szCs w:val="20"/>
    </w:rPr>
  </w:style>
  <w:style w:type="paragraph" w:customStyle="1" w:styleId="CharCharCharCharCharChar1Char">
    <w:name w:val="Char Char Char Char Char Char1 Char"/>
    <w:basedOn w:val="Normal"/>
    <w:qFormat/>
    <w:pPr>
      <w:widowControl/>
      <w:spacing w:after="160" w:line="240" w:lineRule="exact"/>
      <w:jc w:val="left"/>
    </w:pPr>
    <w:rPr>
      <w:rFonts w:ascii="Verdana" w:hAnsi="Verdana"/>
      <w:kern w:val="0"/>
      <w:szCs w:val="20"/>
      <w:lang w:eastAsia="en-US"/>
    </w:rPr>
  </w:style>
  <w:style w:type="paragraph" w:customStyle="1" w:styleId="a8">
    <w:name w:val="公文"/>
    <w:basedOn w:val="Normal"/>
    <w:qFormat/>
    <w:pPr>
      <w:widowControl/>
      <w:adjustRightInd w:val="0"/>
      <w:snapToGrid w:val="0"/>
      <w:spacing w:beforeLines="25" w:afterLines="35"/>
      <w:ind w:firstLine="200" w:firstLineChars="200"/>
      <w:jc w:val="left"/>
    </w:pPr>
    <w:rPr>
      <w:rFonts w:ascii="仿宋_GB2312" w:eastAsia="仿宋_GB2312"/>
      <w:bCs/>
      <w:kern w:val="0"/>
      <w:sz w:val="32"/>
    </w:rPr>
  </w:style>
  <w:style w:type="table" w:customStyle="1" w:styleId="TableNormal0">
    <w:name w:val="Table Normal_0"/>
    <w:unhideWhenUsed/>
    <w:qFormat/>
    <w:tblPr>
      <w:tblCellMar>
        <w:top w:w="0" w:type="dxa"/>
        <w:left w:w="0" w:type="dxa"/>
        <w:bottom w:w="0" w:type="dxa"/>
        <w:right w:w="0" w:type="dxa"/>
      </w:tblCellMar>
    </w:tblPr>
  </w:style>
  <w:style w:type="paragraph" w:customStyle="1" w:styleId="TableParagraph">
    <w:name w:val="Table Paragraph"/>
    <w:basedOn w:val="Normal"/>
    <w:uiPriority w:val="1"/>
    <w:qFormat/>
    <w:rPr>
      <w:rFonts w:ascii="仿宋_GB2312" w:eastAsia="仿宋_GB2312" w:hAnsi="仿宋_GB2312" w:cs="仿宋_GB2312"/>
      <w:lang w:val="en-US" w:eastAsia="zh-CN" w:bidi="ar-SA"/>
    </w:rPr>
  </w:style>
  <w:style w:type="table" w:customStyle="1" w:styleId="16">
    <w:name w:val="网格型1"/>
    <w:basedOn w:val="TableNormal"/>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ayui-this">
    <w:name w:val="layui-this"/>
    <w:basedOn w:val="DefaultParagraphFont"/>
    <w:qFormat/>
    <w:rPr>
      <w:bdr w:val="single" w:sz="6" w:space="0" w:color="EEEEEE"/>
      <w:shd w:val="clear" w:color="auto" w:fill="FFFFFF"/>
    </w:rPr>
  </w:style>
  <w:style w:type="character" w:customStyle="1" w:styleId="first-child">
    <w:name w:val="first-child"/>
    <w:basedOn w:val="DefaultParagraphFont"/>
    <w:qFormat/>
  </w:style>
  <w:style w:type="table" w:customStyle="1" w:styleId="22">
    <w:name w:val="网格型2"/>
    <w:basedOn w:val="TableNormal"/>
    <w:autoRedefine/>
    <w:uiPriority w:val="9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mpact">
    <w:name w:val="Compact"/>
    <w:basedOn w:val="BodyText"/>
    <w:qFormat/>
    <w:pPr>
      <w:spacing w:before="0" w:after="0"/>
    </w:pPr>
  </w:style>
  <w:style w:type="character" w:customStyle="1" w:styleId="hover">
    <w:name w:val="hover"/>
    <w:basedOn w:val="DefaultParagraphFont"/>
    <w:rPr>
      <w:color w:val="2590EB"/>
      <w:shd w:val="clear" w:color="auto" w:fill="E9F4FD"/>
    </w:rPr>
  </w:style>
  <w:style w:type="character" w:customStyle="1" w:styleId="hover1">
    <w:name w:val="hover1"/>
    <w:basedOn w:val="DefaultParagraphFont"/>
    <w:rPr>
      <w:bdr w:val="nil"/>
    </w:rPr>
  </w:style>
  <w:style w:type="character" w:customStyle="1" w:styleId="hover2">
    <w:name w:val="hover2"/>
    <w:basedOn w:val="DefaultParagraphFont"/>
    <w:rPr>
      <w:color w:val="2590EB"/>
    </w:rPr>
  </w:style>
  <w:style w:type="character" w:customStyle="1" w:styleId="hover3">
    <w:name w:val="hover3"/>
    <w:basedOn w:val="DefaultParagraphFont"/>
    <w:rPr>
      <w:color w:val="2590E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image" Target="media/image2.png"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84</Pages>
  <Words>148</Words>
  <Characters>150</Characters>
  <Application>Microsoft Office Word</Application>
  <DocSecurity>0</DocSecurity>
  <Lines>430</Lines>
  <Paragraphs>121</Paragraphs>
  <ScaleCrop>false</ScaleCrop>
  <Company>e510</Company>
  <LinksUpToDate>false</LinksUpToDate>
  <CharactersWithSpaces>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dc:title>
  <dc:creator>e510</dc:creator>
  <cp:lastModifiedBy>招标</cp:lastModifiedBy>
  <cp:revision>7</cp:revision>
  <cp:lastPrinted>2018-06-30T10:27:00Z</cp:lastPrinted>
  <dcterms:created xsi:type="dcterms:W3CDTF">2022-06-20T18:31:00Z</dcterms:created>
  <dcterms:modified xsi:type="dcterms:W3CDTF">2026-10-20T02:40:22Z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59D844E4CE1047CDB925E5F21E0FD2F9_13</vt:lpwstr>
  </property>
  <property fmtid="{D5CDD505-2E9C-101B-9397-08002B2CF9AE}" pid="3" name="KSOProductBuildVer">
    <vt:lpwstr>2052-12.1.0.28505</vt:lpwstr>
  </property>
  <property fmtid="{D5CDD505-2E9C-101B-9397-08002B2CF9AE}" pid="4" name="KSOTemplateDocerSaveRecord">
    <vt:lpwstr>eyJoZGlkIjoiYTEzNWY4M2U1MTAwMjIwODIzNmI3ODZiNWI3NzFlYjgiLCJ1c2VySWQiOiI0MDQ2NDM2MTAifQ==</vt:lpwstr>
  </property>
</Properties>
</file>