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 w:eastAsia="微软雅黑"/>
          <w:b/>
          <w:color w:val="C0392B"/>
          <w:sz w:val="40"/>
        </w:rPr>
        <w:t>绵阳孵化园空气检测二次</w:t>
      </w:r>
    </w:p>
    <w:p>
      <w:pPr>
        <w:jc w:val="center"/>
      </w:pPr>
      <w:r>
        <w:rPr>
          <w:rFonts w:ascii="Times New Roman" w:hAnsi="Times New Roman" w:eastAsia="宋体"/>
          <w:color w:val="198754"/>
          <w:sz w:val="22"/>
        </w:rPr>
        <w:t>【报名中】</w:t>
      </w:r>
    </w:p>
    <w:p>
      <w:pPr>
        <w:spacing w:before="280" w:after="120"/>
      </w:pPr>
      <w:r>
        <w:rPr>
          <w:rFonts w:ascii="Times New Roman" w:hAnsi="Times New Roman" w:eastAsia="微软雅黑"/>
          <w:b/>
          <w:color w:val="FE4C4C"/>
          <w:sz w:val="28"/>
        </w:rPr>
        <w:t>▍项目概要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759"/>
        <w:gridCol w:w="4759"/>
      </w:tblGrid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地区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四川省 / 绵阳市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项目类型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空气检测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预算金额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公开公告未披露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招标单位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绵阳高新发展投资控股有限公司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发标日期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2026-10-20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报名截止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2026-10-26 10:00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开标日期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公开公告未披露</w:t>
            </w:r>
          </w:p>
        </w:tc>
      </w:tr>
      <w:tr>
        <w:tc>
          <w:tcPr>
            <w:tcW w:type="dxa" w:w="3118"/>
          </w:tcPr>
          <w:p>
            <w:r>
              <w:rPr>
                <w:rFonts w:ascii="Times New Roman" w:hAnsi="Times New Roman" w:eastAsia="宋体"/>
                <w:b/>
              </w:rPr>
              <w:t>联系人</w:t>
            </w:r>
          </w:p>
        </w:tc>
        <w:tc>
          <w:tcPr>
            <w:tcW w:type="dxa" w:w="5953"/>
          </w:tcPr>
          <w:p>
            <w:r>
              <w:rPr>
                <w:rFonts w:ascii="Times New Roman" w:hAnsi="Times New Roman" w:eastAsia="宋体"/>
              </w:rPr>
              <w:t>谭女士</w:t>
            </w:r>
          </w:p>
        </w:tc>
      </w:tr>
    </w:tbl>
    <w:p>
      <w:pPr>
        <w:spacing w:before="280" w:after="120"/>
      </w:pPr>
      <w:r>
        <w:rPr>
          <w:rFonts w:ascii="Times New Roman" w:hAnsi="Times New Roman" w:eastAsia="微软雅黑"/>
          <w:b/>
          <w:color w:val="FE4C4C"/>
          <w:sz w:val="28"/>
        </w:rPr>
        <w:t>▍项目概况（据原文公告）</w:t>
      </w:r>
    </w:p>
    <w:p>
      <w:r>
        <w:t>本项目为绵阳高新区专精特新中小企业孵化园项目空气检测单位（第二次），采购人为绵阳高新发展投资控股有限公司，采用竞争性谈判方式。项目位于绵阳永兴镇，规划净用地面积33333.52平方米（约50亩），总建筑面积108658.38平方米，其中地上82121.58平方米、地下26536.80平方米，配地下机动车位718个。采购范围为需第三方检测单位检测的区域进行空气检测、出具检测报告并配合办理相关手续，接到进场通知后10日历天提交成果。要求具备建设工程质量检测机构资质证书（检测专项需含主体结构及装饰装修—室内环境污染物）。响应截止2026年10月26日10时。</w:t>
      </w:r>
    </w:p>
    <w:p>
      <w:pPr>
        <w:spacing w:before="280" w:after="120"/>
      </w:pPr>
      <w:r>
        <w:rPr>
          <w:rFonts w:ascii="Times New Roman" w:hAnsi="Times New Roman" w:eastAsia="微软雅黑"/>
          <w:b/>
          <w:color w:val="FE4C4C"/>
          <w:sz w:val="28"/>
        </w:rPr>
        <w:t>▍概述与投标指南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项目摘要</w:t>
      </w:r>
    </w:p>
    <w:p>
      <w:r>
        <w:t>本标讯为四川省 / 绵阳市空气检测类项目，招标单位为 绵阳高新发展投资控股有限公司。报名截止时间为 2026-10-26 10:00，建议投标方重点核对高空作业资质、人员保险、安全施工方案及业绩案例要求，并在原公告渠道下载正式招标文件。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历年投标透视表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759"/>
        <w:gridCol w:w="4759"/>
      </w:tblGrid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项目类型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空气检测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地区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四川省 / 绵阳市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预算/金额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公开公告未披露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竞争特征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公开竞争，价格分与安全/技术分并重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核心资质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营业执照、高空作业资质、人员特种作业证、意外险/雇主责任险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常见评分维度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报价合理性（30%-50%）、技术方案（30%-40%）、业绩与资质（20%-30%）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投标风险提示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务必以官方原文为准，核实报名截止、保证金缴纳及文件澄清方式</w:t>
            </w:r>
          </w:p>
        </w:tc>
      </w:tr>
      <w:tr>
        <w:tc>
          <w:tcPr>
            <w:tcW w:type="dxa" w:w="2551"/>
          </w:tcPr>
          <w:p>
            <w:r>
              <w:rPr>
                <w:rFonts w:ascii="Times New Roman" w:hAnsi="Times New Roman" w:eastAsia="宋体"/>
                <w:b/>
              </w:rPr>
              <w:t>行业透视</w:t>
            </w:r>
          </w:p>
        </w:tc>
        <w:tc>
          <w:tcPr>
            <w:tcW w:type="dxa" w:w="6520"/>
          </w:tcPr>
          <w:p>
            <w:r>
              <w:rPr>
                <w:rFonts w:ascii="Times New Roman" w:hAnsi="Times New Roman" w:eastAsia="宋体"/>
              </w:rPr>
              <w:t>高空/外墙类清洁项目普遍关注安全资质、保险覆盖、作业方案与过往业绩，报价需结合工期与风险成本。</w:t>
            </w:r>
          </w:p>
        </w:tc>
      </w:tr>
    </w:tbl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投标核心策略建议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1. 资格预审：确认营业执照经营范围、高空作业资质、安全生产许可证、特种作业人员证书及有效期。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2. 保险覆盖：投保高空作业意外险/雇主责任险，保额建议不低于 100 万/人，并在投标文件中附保单或承诺函。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3. 安全方案：编制专项高空作业方案，明确吊篮/蜘蛛人/无人机/升降平台选型、双绳系统、锚点检测及应急预案。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4. 业绩证明：优先提供同类型、同高度、同材质项目的合同或验收证明，增强技术评分竞争力。</w:t>
      </w:r>
    </w:p>
    <w:p>
      <w:pPr>
        <w:ind w:left="283"/>
      </w:pPr>
      <w:r>
        <w:rPr>
          <w:rFonts w:ascii="Times New Roman" w:hAnsi="Times New Roman" w:eastAsia="宋体"/>
          <w:sz w:val="21"/>
        </w:rPr>
        <w:t>5. 时间管理：提前准备标书，关注澄清截止与开标时间，避免因资料不齐或保证金晚到而废标。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免责声明</w:t>
      </w:r>
    </w:p>
    <w:p>
      <w:r>
        <w:t>本平台内容均采集整理自公开渠道，项目摘要、历年投标透视、策略建议等内容由平台整理归纳，仅供参考，不构成投标、报价或法律建议。具体招标要求、资格条件、文件下载、保证金缴纳、开标时间等请以官方原公告为准。因信息滞后或原文更新导致的差异，本平台不承担责任。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推荐配套清洁方案 · 投标必备参考资料</w:t>
      </w:r>
    </w:p>
    <w:p>
      <w:r>
        <w:rPr>
          <w:rFonts w:ascii="Times New Roman" w:hAnsi="Times New Roman" w:eastAsia="宋体"/>
          <w:sz w:val="21"/>
        </w:rPr>
        <w:t>针对「空气检测」场景，蜘蛛工整理了配套清洁方案、作业标准、标书模板及投标必备资料，供会员企业参考使用，可进入方案页面查看详情：https://www.zhizhutegong.com/plan</w:t>
      </w:r>
    </w:p>
    <w:p>
      <w:pPr>
        <w:spacing w:before="160" w:after="120"/>
      </w:pPr>
      <w:r>
        <w:rPr>
          <w:rFonts w:ascii="Times New Roman" w:hAnsi="Times New Roman" w:eastAsia="微软雅黑"/>
          <w:b/>
          <w:color w:val="333333"/>
          <w:sz w:val="24"/>
        </w:rPr>
        <w:t>付费会员专享 · 实时获取全国高空清洁标讯</w:t>
      </w:r>
    </w:p>
    <w:p>
      <w:r>
        <w:t>加入蜘蛛工付费会员，可按地区/类型订阅实时标讯推送，获取投标资料包与专家咨询服务。</w:t>
      </w:r>
    </w:p>
    <w:p>
      <w:pPr>
        <w:spacing w:before="360"/>
      </w:pPr>
      <w:r>
        <w:rPr>
          <w:rFonts w:ascii="Times New Roman" w:hAnsi="Times New Roman" w:eastAsia="宋体"/>
          <w:color w:val="999999"/>
          <w:sz w:val="18"/>
        </w:rPr>
        <w:t>本文档由蜘蛛工标讯系统自动生成，内容采集整理自公开渠道；生成时间：2026-10-24 14:42。最新信息请以官方原公告为准。</w:t>
      </w:r>
    </w:p>
    <w:sectPr w:rsidR="00FC693F" w:rsidRPr="0006063C" w:rsidSect="00034616">
      <w:pgSz w:w="12240" w:h="15840"/>
      <w:pgMar w:top="1247" w:right="1361" w:bottom="1247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