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5F600">
      <w:pPr>
        <w:snapToGrid w:val="0"/>
        <w:spacing w:before="120" w:beforeLines="50" w:after="120" w:afterLines="50" w:line="240" w:lineRule="auto"/>
        <w:jc w:val="center"/>
        <w:rPr>
          <w:rFonts w:hint="eastAsia" w:ascii="宋体" w:hAnsi="宋体" w:eastAsia="宋体"/>
          <w:b/>
          <w:bCs/>
          <w:color w:val="auto"/>
          <w:w w:val="95"/>
          <w:sz w:val="36"/>
          <w:szCs w:val="36"/>
          <w:highlight w:val="none"/>
        </w:rPr>
      </w:pPr>
    </w:p>
    <w:p w14:paraId="68A599B1">
      <w:pPr>
        <w:snapToGrid w:val="0"/>
        <w:spacing w:before="120" w:beforeLines="50" w:after="120" w:afterLines="50" w:line="240" w:lineRule="auto"/>
        <w:jc w:val="center"/>
        <w:rPr>
          <w:rFonts w:hint="eastAsia" w:ascii="宋体" w:hAnsi="宋体" w:eastAsia="宋体"/>
          <w:b/>
          <w:bCs/>
          <w:color w:val="auto"/>
          <w:w w:val="95"/>
          <w:sz w:val="36"/>
          <w:szCs w:val="36"/>
          <w:highlight w:val="none"/>
          <w:lang w:eastAsia="zh-CN"/>
        </w:rPr>
      </w:pPr>
      <w:r>
        <w:rPr>
          <w:rFonts w:hint="eastAsia" w:ascii="宋体" w:hAnsi="宋体"/>
          <w:b/>
          <w:bCs/>
          <w:color w:val="auto"/>
          <w:w w:val="95"/>
          <w:sz w:val="40"/>
          <w:szCs w:val="40"/>
          <w:highlight w:val="none"/>
          <w:lang w:eastAsia="zh-CN"/>
        </w:rPr>
        <w:t>江南之源文化遗址公园德清窑空气治理项目</w:t>
      </w:r>
    </w:p>
    <w:p w14:paraId="4DE22C21">
      <w:pPr>
        <w:pStyle w:val="8"/>
        <w:ind w:firstLine="280"/>
        <w:rPr>
          <w:color w:val="auto"/>
          <w:highlight w:val="none"/>
        </w:rPr>
      </w:pPr>
    </w:p>
    <w:p w14:paraId="68B2590D">
      <w:pPr>
        <w:spacing w:before="120" w:beforeLines="50"/>
        <w:jc w:val="center"/>
        <w:rPr>
          <w:rFonts w:hint="eastAsia" w:ascii="宋体" w:hAnsi="宋体"/>
          <w:b/>
          <w:color w:val="auto"/>
          <w:kern w:val="0"/>
          <w:sz w:val="28"/>
          <w:szCs w:val="28"/>
          <w:highlight w:val="none"/>
        </w:rPr>
      </w:pPr>
    </w:p>
    <w:p w14:paraId="3CF8D19D">
      <w:pPr>
        <w:spacing w:before="120" w:beforeLines="50"/>
        <w:ind w:firstLine="1440" w:firstLineChars="200"/>
        <w:rPr>
          <w:rFonts w:hint="eastAsia" w:ascii="宋体" w:hAnsi="宋体"/>
          <w:color w:val="auto"/>
          <w:sz w:val="72"/>
          <w:szCs w:val="72"/>
          <w:highlight w:val="none"/>
        </w:rPr>
      </w:pPr>
    </w:p>
    <w:p w14:paraId="4E15806E">
      <w:pPr>
        <w:pStyle w:val="5"/>
        <w:rPr>
          <w:color w:val="auto"/>
          <w:highlight w:val="none"/>
        </w:rPr>
      </w:pPr>
    </w:p>
    <w:p w14:paraId="6FCC6C66">
      <w:pPr>
        <w:spacing w:before="120" w:beforeLines="50"/>
        <w:ind w:firstLine="1440" w:firstLineChars="200"/>
        <w:rPr>
          <w:rFonts w:hint="eastAsia" w:ascii="宋体" w:hAnsi="宋体"/>
          <w:color w:val="auto"/>
          <w:sz w:val="72"/>
          <w:szCs w:val="72"/>
          <w:highlight w:val="none"/>
        </w:rPr>
      </w:pPr>
      <w:r>
        <w:rPr>
          <w:rFonts w:hint="eastAsia" w:ascii="宋体" w:hAnsi="宋体"/>
          <w:color w:val="auto"/>
          <w:sz w:val="72"/>
          <w:szCs w:val="72"/>
          <w:highlight w:val="none"/>
        </w:rPr>
        <w:t>公开招标采购文件</w:t>
      </w:r>
    </w:p>
    <w:p w14:paraId="1BCB9219">
      <w:pPr>
        <w:snapToGrid w:val="0"/>
        <w:spacing w:before="120" w:beforeLines="50" w:line="360" w:lineRule="auto"/>
        <w:rPr>
          <w:rFonts w:hint="eastAsia" w:ascii="宋体" w:hAnsi="宋体"/>
          <w:color w:val="auto"/>
          <w:sz w:val="30"/>
          <w:szCs w:val="72"/>
          <w:highlight w:val="none"/>
        </w:rPr>
      </w:pPr>
    </w:p>
    <w:p w14:paraId="282E92AC">
      <w:pPr>
        <w:snapToGrid w:val="0"/>
        <w:spacing w:before="120" w:beforeLines="50" w:after="120" w:afterLines="50" w:line="360" w:lineRule="auto"/>
        <w:rPr>
          <w:rFonts w:hint="eastAsia" w:ascii="宋体" w:hAnsi="宋体"/>
          <w:b/>
          <w:bCs/>
          <w:color w:val="auto"/>
          <w:sz w:val="30"/>
          <w:szCs w:val="30"/>
          <w:highlight w:val="none"/>
        </w:rPr>
      </w:pPr>
    </w:p>
    <w:p w14:paraId="2AAA71E2">
      <w:pPr>
        <w:pStyle w:val="5"/>
        <w:rPr>
          <w:color w:val="auto"/>
          <w:highlight w:val="none"/>
        </w:rPr>
      </w:pPr>
    </w:p>
    <w:p w14:paraId="4BB5AF8D">
      <w:pPr>
        <w:rPr>
          <w:color w:val="auto"/>
          <w:highlight w:val="none"/>
        </w:rPr>
      </w:pPr>
    </w:p>
    <w:p w14:paraId="3E07FFA1">
      <w:pPr>
        <w:snapToGrid w:val="0"/>
        <w:spacing w:before="120" w:beforeLines="50" w:after="120" w:afterLines="50" w:line="360" w:lineRule="auto"/>
        <w:rPr>
          <w:rFonts w:hint="eastAsia" w:ascii="宋体" w:hAnsi="宋体"/>
          <w:b/>
          <w:bCs/>
          <w:color w:val="auto"/>
          <w:sz w:val="28"/>
          <w:szCs w:val="28"/>
          <w:highlight w:val="none"/>
        </w:rPr>
      </w:pPr>
    </w:p>
    <w:p w14:paraId="4C3B99FA">
      <w:pPr>
        <w:widowControl/>
        <w:shd w:val="clear"/>
        <w:snapToGrid w:val="0"/>
        <w:spacing w:before="120" w:beforeLines="50" w:after="120" w:afterLines="50" w:line="360" w:lineRule="auto"/>
        <w:jc w:val="left"/>
        <w:rPr>
          <w:rFonts w:hint="eastAsia" w:ascii="宋体" w:hAnsi="宋体" w:cs="Times New Roman"/>
          <w:b/>
          <w:bCs/>
          <w:color w:val="auto"/>
          <w:w w:val="95"/>
          <w:kern w:val="2"/>
          <w:sz w:val="28"/>
          <w:szCs w:val="28"/>
          <w:highlight w:val="none"/>
          <w:shd w:val="clear"/>
          <w:lang w:val="en-US" w:eastAsia="zh-CN" w:bidi="ar"/>
        </w:rPr>
      </w:pPr>
      <w:r>
        <w:rPr>
          <w:rFonts w:hint="eastAsia" w:ascii="宋体" w:hAnsi="宋体"/>
          <w:b/>
          <w:bCs/>
          <w:color w:val="auto"/>
          <w:w w:val="95"/>
          <w:sz w:val="28"/>
          <w:szCs w:val="28"/>
          <w:highlight w:val="none"/>
        </w:rPr>
        <w:t>项目编号：hzgq202609249</w:t>
      </w:r>
      <w:r>
        <w:rPr>
          <w:rFonts w:hint="eastAsia" w:ascii="宋体" w:hAnsi="宋体" w:cs="Times New Roman"/>
          <w:b/>
          <w:bCs/>
          <w:color w:val="auto"/>
          <w:w w:val="95"/>
          <w:kern w:val="2"/>
          <w:sz w:val="28"/>
          <w:szCs w:val="28"/>
          <w:highlight w:val="none"/>
          <w:shd w:val="clear"/>
          <w:lang w:val="en-US" w:eastAsia="zh-CN" w:bidi="ar"/>
        </w:rPr>
        <w:t xml:space="preserve">      </w:t>
      </w:r>
    </w:p>
    <w:p w14:paraId="470F8C64">
      <w:pPr>
        <w:widowControl/>
        <w:shd w:val="clear"/>
        <w:snapToGrid w:val="0"/>
        <w:spacing w:before="120" w:beforeLines="50" w:after="120" w:afterLines="50" w:line="360" w:lineRule="auto"/>
        <w:jc w:val="left"/>
        <w:rPr>
          <w:rFonts w:hint="eastAsia" w:ascii="宋体" w:hAnsi="宋体"/>
          <w:b/>
          <w:bCs/>
          <w:color w:val="auto"/>
          <w:w w:val="95"/>
          <w:sz w:val="28"/>
          <w:szCs w:val="28"/>
          <w:highlight w:val="none"/>
        </w:rPr>
      </w:pPr>
      <w:r>
        <w:rPr>
          <w:rFonts w:hint="eastAsia" w:ascii="宋体" w:hAnsi="宋体"/>
          <w:b/>
          <w:bCs/>
          <w:color w:val="auto"/>
          <w:w w:val="95"/>
          <w:sz w:val="28"/>
          <w:szCs w:val="28"/>
          <w:highlight w:val="none"/>
        </w:rPr>
        <w:t>集团编号：德文旅招[2026]94号</w:t>
      </w:r>
    </w:p>
    <w:p w14:paraId="5B9DD530">
      <w:pPr>
        <w:snapToGrid w:val="0"/>
        <w:spacing w:before="120" w:beforeLines="50" w:after="120" w:afterLines="50" w:line="360" w:lineRule="auto"/>
        <w:rPr>
          <w:rFonts w:hint="eastAsia" w:ascii="宋体" w:hAnsi="宋体" w:eastAsia="宋体"/>
          <w:b/>
          <w:bCs/>
          <w:color w:val="auto"/>
          <w:w w:val="95"/>
          <w:sz w:val="28"/>
          <w:szCs w:val="28"/>
          <w:highlight w:val="none"/>
          <w:lang w:eastAsia="zh-CN"/>
        </w:rPr>
      </w:pPr>
      <w:r>
        <w:rPr>
          <w:rFonts w:hint="eastAsia" w:ascii="宋体" w:hAnsi="宋体"/>
          <w:b/>
          <w:bCs/>
          <w:color w:val="auto"/>
          <w:w w:val="95"/>
          <w:sz w:val="28"/>
          <w:szCs w:val="28"/>
          <w:highlight w:val="none"/>
        </w:rPr>
        <w:t>项目名称：</w:t>
      </w:r>
      <w:r>
        <w:rPr>
          <w:rFonts w:hint="eastAsia" w:ascii="宋体" w:hAnsi="宋体"/>
          <w:b/>
          <w:bCs/>
          <w:color w:val="auto"/>
          <w:w w:val="95"/>
          <w:sz w:val="28"/>
          <w:szCs w:val="28"/>
          <w:highlight w:val="none"/>
          <w:lang w:eastAsia="zh-CN"/>
        </w:rPr>
        <w:t>江南之源文化遗址公园德清窑空气治理项目</w:t>
      </w:r>
    </w:p>
    <w:p w14:paraId="2EE9F7FE">
      <w:pPr>
        <w:snapToGrid w:val="0"/>
        <w:spacing w:before="120" w:beforeLines="50" w:after="120" w:afterLines="50" w:line="360" w:lineRule="auto"/>
        <w:rPr>
          <w:rFonts w:hint="eastAsia" w:ascii="宋体" w:hAnsi="宋体" w:eastAsia="宋体"/>
          <w:b/>
          <w:bCs/>
          <w:color w:val="auto"/>
          <w:w w:val="95"/>
          <w:sz w:val="28"/>
          <w:szCs w:val="28"/>
          <w:highlight w:val="none"/>
          <w:lang w:eastAsia="zh-CN"/>
        </w:rPr>
      </w:pPr>
      <w:r>
        <w:rPr>
          <w:rFonts w:ascii="宋体" w:hAnsi="宋体"/>
          <w:b/>
          <w:bCs/>
          <w:color w:val="auto"/>
          <w:w w:val="95"/>
          <w:sz w:val="28"/>
          <w:szCs w:val="28"/>
          <w:highlight w:val="none"/>
        </w:rPr>
        <w:t>采购单位：</w:t>
      </w:r>
      <w:r>
        <w:rPr>
          <w:rFonts w:hint="eastAsia" w:ascii="宋体" w:hAnsi="宋体"/>
          <w:b/>
          <w:bCs/>
          <w:color w:val="auto"/>
          <w:w w:val="95"/>
          <w:sz w:val="28"/>
          <w:szCs w:val="28"/>
          <w:highlight w:val="none"/>
          <w:lang w:eastAsia="zh-CN"/>
        </w:rPr>
        <w:t>德清县德源旅游发展有限公司</w:t>
      </w:r>
    </w:p>
    <w:p w14:paraId="7C58AC64">
      <w:pPr>
        <w:snapToGrid w:val="0"/>
        <w:spacing w:before="120" w:beforeLines="50" w:after="120" w:afterLines="50" w:line="360" w:lineRule="auto"/>
        <w:rPr>
          <w:rFonts w:hint="eastAsia" w:ascii="宋体" w:hAnsi="宋体" w:eastAsia="宋体"/>
          <w:b/>
          <w:bCs/>
          <w:color w:val="auto"/>
          <w:w w:val="95"/>
          <w:sz w:val="28"/>
          <w:szCs w:val="28"/>
          <w:highlight w:val="none"/>
          <w:lang w:eastAsia="zh-CN"/>
        </w:rPr>
      </w:pPr>
      <w:r>
        <w:rPr>
          <w:rFonts w:hint="eastAsia" w:ascii="宋体" w:hAnsi="宋体"/>
          <w:b/>
          <w:bCs/>
          <w:color w:val="auto"/>
          <w:w w:val="95"/>
          <w:sz w:val="28"/>
          <w:szCs w:val="28"/>
          <w:highlight w:val="none"/>
        </w:rPr>
        <w:t>采购代理机构</w:t>
      </w:r>
      <w:r>
        <w:rPr>
          <w:rFonts w:ascii="宋体" w:hAnsi="宋体"/>
          <w:b/>
          <w:bCs/>
          <w:color w:val="auto"/>
          <w:w w:val="95"/>
          <w:sz w:val="28"/>
          <w:szCs w:val="28"/>
          <w:highlight w:val="none"/>
        </w:rPr>
        <w:t>：</w:t>
      </w:r>
      <w:r>
        <w:rPr>
          <w:rFonts w:hint="eastAsia" w:ascii="宋体" w:hAnsi="宋体"/>
          <w:b/>
          <w:bCs/>
          <w:color w:val="auto"/>
          <w:w w:val="95"/>
          <w:sz w:val="28"/>
          <w:szCs w:val="28"/>
          <w:highlight w:val="none"/>
          <w:lang w:eastAsia="zh-CN"/>
        </w:rPr>
        <w:t>浙江省房地产管理咨询有限公司</w:t>
      </w:r>
    </w:p>
    <w:p w14:paraId="6802BD76">
      <w:pPr>
        <w:snapToGrid w:val="0"/>
        <w:spacing w:before="120" w:beforeLines="50" w:after="120" w:afterLines="50" w:line="360" w:lineRule="auto"/>
        <w:rPr>
          <w:rFonts w:hint="eastAsia" w:ascii="宋体" w:hAnsi="宋体" w:eastAsia="宋体"/>
          <w:b/>
          <w:bCs/>
          <w:color w:val="auto"/>
          <w:w w:val="95"/>
          <w:sz w:val="28"/>
          <w:szCs w:val="28"/>
          <w:highlight w:val="none"/>
          <w:lang w:eastAsia="zh-CN"/>
        </w:rPr>
      </w:pPr>
      <w:r>
        <w:rPr>
          <w:rFonts w:hint="eastAsia" w:ascii="宋体" w:hAnsi="宋体"/>
          <w:b/>
          <w:bCs/>
          <w:color w:val="auto"/>
          <w:w w:val="95"/>
          <w:sz w:val="28"/>
          <w:szCs w:val="28"/>
          <w:highlight w:val="none"/>
        </w:rPr>
        <w:t xml:space="preserve">备案管理单位: </w:t>
      </w:r>
      <w:r>
        <w:rPr>
          <w:rFonts w:hint="eastAsia" w:ascii="宋体" w:hAnsi="宋体"/>
          <w:b/>
          <w:bCs/>
          <w:color w:val="auto"/>
          <w:w w:val="95"/>
          <w:sz w:val="28"/>
          <w:szCs w:val="28"/>
          <w:highlight w:val="none"/>
          <w:lang w:eastAsia="zh-CN"/>
        </w:rPr>
        <w:t>德清县文化旅游发展集团有限公司交易中心</w:t>
      </w:r>
    </w:p>
    <w:p w14:paraId="2C86CE8C">
      <w:pPr>
        <w:snapToGrid w:val="0"/>
        <w:spacing w:before="120" w:beforeLines="50" w:after="120" w:afterLines="50" w:line="360" w:lineRule="auto"/>
        <w:jc w:val="center"/>
        <w:rPr>
          <w:rFonts w:hint="eastAsia" w:ascii="宋体" w:hAnsi="宋体"/>
          <w:b/>
          <w:bCs/>
          <w:color w:val="auto"/>
          <w:w w:val="95"/>
          <w:sz w:val="28"/>
          <w:szCs w:val="28"/>
          <w:highlight w:val="none"/>
        </w:rPr>
      </w:pPr>
      <w:r>
        <w:rPr>
          <w:rFonts w:hint="eastAsia" w:ascii="宋体" w:hAnsi="宋体"/>
          <w:b/>
          <w:bCs/>
          <w:color w:val="auto"/>
          <w:w w:val="95"/>
          <w:sz w:val="28"/>
          <w:szCs w:val="28"/>
          <w:highlight w:val="none"/>
        </w:rPr>
        <w:t>202</w:t>
      </w:r>
      <w:r>
        <w:rPr>
          <w:rFonts w:hint="eastAsia" w:ascii="宋体" w:hAnsi="宋体"/>
          <w:b/>
          <w:bCs/>
          <w:color w:val="auto"/>
          <w:w w:val="95"/>
          <w:sz w:val="28"/>
          <w:szCs w:val="28"/>
          <w:highlight w:val="none"/>
          <w:lang w:val="en-US" w:eastAsia="zh-CN"/>
        </w:rPr>
        <w:t>6</w:t>
      </w:r>
      <w:r>
        <w:rPr>
          <w:rFonts w:hint="eastAsia" w:ascii="宋体" w:hAnsi="宋体"/>
          <w:b/>
          <w:bCs/>
          <w:color w:val="auto"/>
          <w:w w:val="95"/>
          <w:sz w:val="28"/>
          <w:szCs w:val="28"/>
          <w:highlight w:val="none"/>
        </w:rPr>
        <w:t>年</w:t>
      </w:r>
      <w:r>
        <w:rPr>
          <w:rFonts w:hint="eastAsia" w:ascii="宋体" w:hAnsi="宋体"/>
          <w:b/>
          <w:bCs/>
          <w:color w:val="auto"/>
          <w:w w:val="95"/>
          <w:sz w:val="28"/>
          <w:szCs w:val="28"/>
          <w:highlight w:val="none"/>
          <w:lang w:val="en-US" w:eastAsia="zh-CN"/>
        </w:rPr>
        <w:t>10</w:t>
      </w:r>
      <w:r>
        <w:rPr>
          <w:rFonts w:hint="eastAsia" w:ascii="宋体" w:hAnsi="宋体"/>
          <w:b/>
          <w:bCs/>
          <w:color w:val="auto"/>
          <w:w w:val="95"/>
          <w:sz w:val="28"/>
          <w:szCs w:val="28"/>
          <w:highlight w:val="none"/>
        </w:rPr>
        <w:t>月</w:t>
      </w:r>
    </w:p>
    <w:p w14:paraId="296C05D4">
      <w:pPr>
        <w:snapToGrid w:val="0"/>
        <w:spacing w:before="120" w:beforeLines="50" w:line="360" w:lineRule="auto"/>
        <w:ind w:left="384" w:leftChars="183" w:firstLine="4821" w:firstLineChars="1607"/>
        <w:rPr>
          <w:rFonts w:hint="eastAsia" w:ascii="宋体" w:hAnsi="宋体"/>
          <w:color w:val="auto"/>
          <w:sz w:val="30"/>
          <w:szCs w:val="20"/>
          <w:highlight w:val="none"/>
        </w:rPr>
      </w:pPr>
    </w:p>
    <w:p w14:paraId="27E9430A">
      <w:pPr>
        <w:spacing w:before="120" w:beforeLines="50" w:after="120" w:afterLines="50" w:line="360" w:lineRule="auto"/>
        <w:rPr>
          <w:rFonts w:hint="eastAsia" w:ascii="宋体" w:hAnsi="宋体"/>
          <w:color w:val="auto"/>
          <w:sz w:val="44"/>
          <w:szCs w:val="44"/>
          <w:highlight w:val="none"/>
        </w:rPr>
        <w:sectPr>
          <w:headerReference r:id="rId5" w:type="first"/>
          <w:headerReference r:id="rId3" w:type="default"/>
          <w:footerReference r:id="rId6" w:type="default"/>
          <w:headerReference r:id="rId4" w:type="even"/>
          <w:footerReference r:id="rId7" w:type="even"/>
          <w:pgSz w:w="11906" w:h="16838"/>
          <w:pgMar w:top="1474" w:right="1656" w:bottom="1247" w:left="1656" w:header="851" w:footer="851" w:gutter="0"/>
          <w:pgNumType w:start="0"/>
          <w:cols w:space="720" w:num="1"/>
          <w:titlePg/>
          <w:docGrid w:linePitch="312" w:charSpace="0"/>
        </w:sectPr>
      </w:pPr>
    </w:p>
    <w:p w14:paraId="6F3E3CCC">
      <w:pPr>
        <w:spacing w:before="120" w:beforeLines="50" w:after="120" w:afterLines="50" w:line="360" w:lineRule="auto"/>
        <w:jc w:val="center"/>
        <w:outlineLvl w:val="0"/>
        <w:rPr>
          <w:rFonts w:hint="eastAsia" w:ascii="宋体" w:hAnsi="宋体" w:cs="宋体"/>
          <w:b/>
          <w:color w:val="auto"/>
          <w:sz w:val="32"/>
          <w:highlight w:val="none"/>
        </w:rPr>
      </w:pPr>
      <w:bookmarkStart w:id="0" w:name="_Toc17847"/>
      <w:r>
        <w:rPr>
          <w:rFonts w:hint="eastAsia" w:ascii="宋体" w:hAnsi="宋体" w:cs="宋体"/>
          <w:b/>
          <w:color w:val="auto"/>
          <w:sz w:val="32"/>
          <w:highlight w:val="none"/>
        </w:rPr>
        <w:t>附录：系统操作指南</w:t>
      </w:r>
      <w:bookmarkEnd w:id="0"/>
    </w:p>
    <w:p w14:paraId="2D2E6278">
      <w:pPr>
        <w:pStyle w:val="16"/>
        <w:spacing w:line="336" w:lineRule="auto"/>
        <w:jc w:val="left"/>
        <w:rPr>
          <w:rFonts w:hint="eastAsia" w:ascii="宋体" w:hAnsi="宋体" w:cs="宋体"/>
          <w:bCs w:val="0"/>
          <w:color w:val="auto"/>
          <w:szCs w:val="24"/>
          <w:highlight w:val="none"/>
        </w:rPr>
      </w:pPr>
      <w:r>
        <w:rPr>
          <w:rFonts w:hint="eastAsia" w:ascii="宋体" w:hAnsi="宋体" w:cs="宋体"/>
          <w:bCs w:val="0"/>
          <w:color w:val="auto"/>
          <w:szCs w:val="24"/>
          <w:highlight w:val="none"/>
        </w:rPr>
        <w:t>一、 系统前期准备</w:t>
      </w:r>
    </w:p>
    <w:p w14:paraId="30514CDB">
      <w:pPr>
        <w:tabs>
          <w:tab w:val="left" w:pos="574"/>
        </w:tabs>
        <w:autoSpaceDE w:val="0"/>
        <w:autoSpaceDN w:val="0"/>
        <w:spacing w:before="120" w:after="120"/>
        <w:rPr>
          <w:rFonts w:hint="eastAsia" w:ascii="宋体" w:hAnsi="宋体" w:cs="宋体"/>
          <w:b/>
          <w:color w:val="auto"/>
          <w:highlight w:val="none"/>
        </w:rPr>
      </w:pPr>
      <w:r>
        <w:rPr>
          <w:rFonts w:hint="eastAsia" w:ascii="宋体" w:hAnsi="宋体" w:cs="宋体"/>
          <w:b/>
          <w:color w:val="auto"/>
          <w:spacing w:val="-10"/>
          <w:highlight w:val="none"/>
        </w:rPr>
        <w:t>1.1 驱动安装说明</w:t>
      </w:r>
    </w:p>
    <w:p w14:paraId="77B71DF6">
      <w:pPr>
        <w:tabs>
          <w:tab w:val="left" w:pos="828"/>
        </w:tabs>
        <w:autoSpaceDE w:val="0"/>
        <w:autoSpaceDN w:val="0"/>
        <w:jc w:val="left"/>
        <w:rPr>
          <w:rFonts w:hint="eastAsia" w:ascii="宋体" w:hAnsi="宋体" w:cs="宋体"/>
          <w:b/>
          <w:color w:val="auto"/>
          <w:highlight w:val="none"/>
        </w:rPr>
      </w:pPr>
      <w:r>
        <w:rPr>
          <w:rFonts w:hint="eastAsia" w:ascii="宋体" w:hAnsi="宋体" w:cs="宋体"/>
          <w:b/>
          <w:color w:val="auto"/>
          <w:spacing w:val="14"/>
          <w:sz w:val="24"/>
          <w:highlight w:val="none"/>
        </w:rPr>
        <w:t>1.1.1、 安装驱动程序</w:t>
      </w:r>
    </w:p>
    <w:p w14:paraId="6E90F145">
      <w:pPr>
        <w:pStyle w:val="7"/>
        <w:spacing w:before="4"/>
        <w:rPr>
          <w:rFonts w:hint="eastAsia" w:ascii="宋体" w:hAnsi="宋体" w:cs="宋体"/>
          <w:b/>
          <w:color w:val="auto"/>
          <w:sz w:val="33"/>
          <w:highlight w:val="none"/>
        </w:rPr>
      </w:pPr>
    </w:p>
    <w:p w14:paraId="4EAE4956">
      <w:pPr>
        <w:pStyle w:val="7"/>
        <w:ind w:left="120"/>
        <w:rPr>
          <w:rFonts w:hint="eastAsia" w:ascii="宋体" w:hAnsi="宋体" w:cs="宋体"/>
          <w:b/>
          <w:color w:val="auto"/>
          <w:sz w:val="21"/>
          <w:szCs w:val="21"/>
          <w:highlight w:val="none"/>
        </w:rPr>
      </w:pPr>
      <w:r>
        <w:rPr>
          <w:rFonts w:hint="eastAsia" w:ascii="宋体" w:hAnsi="宋体" w:cs="宋体"/>
          <w:b/>
          <w:color w:val="auto"/>
          <w:w w:val="95"/>
          <w:sz w:val="21"/>
          <w:szCs w:val="21"/>
          <w:highlight w:val="none"/>
        </w:rPr>
        <w:t>1、双击安装程序</w:t>
      </w:r>
      <w:r>
        <w:rPr>
          <w:rFonts w:hint="eastAsia" w:ascii="宋体" w:hAnsi="宋体" w:cs="宋体"/>
          <w:b/>
          <w:color w:val="auto"/>
          <w:spacing w:val="-25"/>
          <w:w w:val="95"/>
          <w:sz w:val="21"/>
          <w:szCs w:val="21"/>
          <w:highlight w:val="none"/>
        </w:rPr>
        <w:t xml:space="preserve"> </w:t>
      </w:r>
      <w:r>
        <w:rPr>
          <w:rFonts w:hint="eastAsia" w:ascii="宋体" w:hAnsi="宋体" w:cs="宋体"/>
          <w:b/>
          <w:color w:val="auto"/>
          <w:spacing w:val="2"/>
          <w:w w:val="99"/>
          <w:sz w:val="21"/>
          <w:szCs w:val="21"/>
          <w:highlight w:val="none"/>
        </w:rPr>
        <w:drawing>
          <wp:inline distT="0" distB="0" distL="114300" distR="114300">
            <wp:extent cx="762000" cy="1188720"/>
            <wp:effectExtent l="0" t="0" r="0" b="11430"/>
            <wp:docPr id="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
                    <pic:cNvPicPr>
                      <a:picLocks noChangeAspect="1"/>
                    </pic:cNvPicPr>
                  </pic:nvPicPr>
                  <pic:blipFill>
                    <a:blip r:embed="rId22"/>
                    <a:stretch>
                      <a:fillRect/>
                    </a:stretch>
                  </pic:blipFill>
                  <pic:spPr>
                    <a:xfrm>
                      <a:off x="0" y="0"/>
                      <a:ext cx="762000" cy="1188720"/>
                    </a:xfrm>
                    <a:prstGeom prst="rect">
                      <a:avLst/>
                    </a:prstGeom>
                    <a:noFill/>
                    <a:ln>
                      <a:noFill/>
                    </a:ln>
                  </pic:spPr>
                </pic:pic>
              </a:graphicData>
            </a:graphic>
          </wp:inline>
        </w:drawing>
      </w:r>
      <w:r>
        <w:rPr>
          <w:rFonts w:hint="eastAsia" w:ascii="宋体" w:hAnsi="宋体" w:cs="宋体"/>
          <w:b/>
          <w:color w:val="auto"/>
          <w:sz w:val="21"/>
          <w:szCs w:val="21"/>
          <w:highlight w:val="none"/>
        </w:rPr>
        <w:t>，进入安装页面。</w:t>
      </w:r>
    </w:p>
    <w:p w14:paraId="38790432">
      <w:pPr>
        <w:pStyle w:val="7"/>
        <w:spacing w:before="9"/>
        <w:rPr>
          <w:rFonts w:hint="eastAsia" w:ascii="宋体" w:hAnsi="宋体" w:cs="宋体"/>
          <w:b/>
          <w:color w:val="auto"/>
          <w:sz w:val="9"/>
          <w:highlight w:val="none"/>
        </w:rPr>
      </w:pPr>
      <w:r>
        <w:rPr>
          <w:rFonts w:hint="eastAsia" w:ascii="宋体" w:hAnsi="宋体" w:cs="宋体"/>
          <w:b/>
          <w:color w:val="auto"/>
          <w:highlight w:val="none"/>
        </w:rPr>
        <w:drawing>
          <wp:inline distT="0" distB="0" distL="114300" distR="114300">
            <wp:extent cx="5314315" cy="3502025"/>
            <wp:effectExtent l="0" t="0" r="635" b="3175"/>
            <wp:docPr id="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
                    <pic:cNvPicPr>
                      <a:picLocks noChangeAspect="1"/>
                    </pic:cNvPicPr>
                  </pic:nvPicPr>
                  <pic:blipFill>
                    <a:blip r:embed="rId23"/>
                    <a:stretch>
                      <a:fillRect/>
                    </a:stretch>
                  </pic:blipFill>
                  <pic:spPr>
                    <a:xfrm>
                      <a:off x="0" y="0"/>
                      <a:ext cx="5314315" cy="3502025"/>
                    </a:xfrm>
                    <a:prstGeom prst="rect">
                      <a:avLst/>
                    </a:prstGeom>
                    <a:noFill/>
                    <a:ln>
                      <a:noFill/>
                    </a:ln>
                  </pic:spPr>
                </pic:pic>
              </a:graphicData>
            </a:graphic>
          </wp:inline>
        </w:drawing>
      </w:r>
    </w:p>
    <w:p w14:paraId="38E934CB">
      <w:pPr>
        <w:pStyle w:val="7"/>
        <w:spacing w:before="57"/>
        <w:ind w:left="120"/>
        <w:rPr>
          <w:rFonts w:hint="eastAsia" w:ascii="宋体" w:hAnsi="宋体" w:cs="宋体"/>
          <w:b/>
          <w:color w:val="auto"/>
          <w:sz w:val="21"/>
          <w:szCs w:val="21"/>
          <w:highlight w:val="none"/>
        </w:rPr>
      </w:pPr>
      <w:r>
        <w:rPr>
          <w:rFonts w:hint="eastAsia" w:ascii="宋体" w:hAnsi="宋体" w:cs="宋体"/>
          <w:b/>
          <w:color w:val="auto"/>
          <w:sz w:val="21"/>
          <w:szCs w:val="21"/>
          <w:highlight w:val="none"/>
        </w:rPr>
        <w:t>注：在安装驱动之前，请确保所有浏览器均已关闭。</w:t>
      </w:r>
    </w:p>
    <w:p w14:paraId="778022BF">
      <w:pPr>
        <w:pStyle w:val="7"/>
        <w:spacing w:before="43"/>
        <w:ind w:left="120"/>
        <w:rPr>
          <w:rFonts w:hint="eastAsia" w:ascii="宋体" w:hAnsi="宋体" w:cs="宋体"/>
          <w:b/>
          <w:color w:val="auto"/>
          <w:sz w:val="21"/>
          <w:szCs w:val="21"/>
          <w:highlight w:val="none"/>
        </w:rPr>
      </w:pPr>
      <w:r>
        <w:rPr>
          <w:rFonts w:hint="eastAsia" w:ascii="宋体" w:hAnsi="宋体" w:cs="宋体"/>
          <w:b/>
          <w:color w:val="auto"/>
          <w:spacing w:val="-1"/>
          <w:w w:val="99"/>
          <w:sz w:val="21"/>
          <w:szCs w:val="21"/>
          <w:highlight w:val="none"/>
        </w:rPr>
        <w:t>2</w:t>
      </w:r>
      <w:r>
        <w:rPr>
          <w:rFonts w:hint="eastAsia" w:ascii="宋体" w:hAnsi="宋体" w:cs="宋体"/>
          <w:b/>
          <w:color w:val="auto"/>
          <w:spacing w:val="-8"/>
          <w:w w:val="99"/>
          <w:sz w:val="21"/>
          <w:szCs w:val="21"/>
          <w:highlight w:val="none"/>
        </w:rPr>
        <w:t>、选中协议，点击“自定义安装”，打开安装目录位置。</w:t>
      </w:r>
    </w:p>
    <w:p w14:paraId="73D5C965">
      <w:pPr>
        <w:rPr>
          <w:rFonts w:hint="eastAsia" w:ascii="宋体" w:hAnsi="宋体" w:cs="宋体"/>
          <w:b/>
          <w:color w:val="auto"/>
          <w:highlight w:val="none"/>
        </w:rPr>
        <w:sectPr>
          <w:footerReference r:id="rId9" w:type="first"/>
          <w:footerReference r:id="rId8" w:type="default"/>
          <w:pgSz w:w="11910" w:h="16840"/>
          <w:pgMar w:top="1380" w:right="1247" w:bottom="1140" w:left="1247" w:header="595" w:footer="948" w:gutter="0"/>
          <w:cols w:space="720" w:num="1"/>
        </w:sectPr>
      </w:pPr>
    </w:p>
    <w:p w14:paraId="0889E44D">
      <w:pPr>
        <w:pStyle w:val="7"/>
        <w:spacing w:before="8"/>
        <w:rPr>
          <w:rFonts w:hint="eastAsia" w:ascii="宋体" w:hAnsi="宋体" w:cs="宋体"/>
          <w:b/>
          <w:color w:val="auto"/>
          <w:sz w:val="6"/>
          <w:highlight w:val="none"/>
        </w:rPr>
      </w:pPr>
    </w:p>
    <w:p w14:paraId="6348DCD0">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314950" cy="3502025"/>
            <wp:effectExtent l="0" t="0" r="0" b="3175"/>
            <wp:docPr id="5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
                    <pic:cNvPicPr>
                      <a:picLocks noChangeAspect="1"/>
                    </pic:cNvPicPr>
                  </pic:nvPicPr>
                  <pic:blipFill>
                    <a:blip r:embed="rId24"/>
                    <a:stretch>
                      <a:fillRect/>
                    </a:stretch>
                  </pic:blipFill>
                  <pic:spPr>
                    <a:xfrm>
                      <a:off x="0" y="0"/>
                      <a:ext cx="5314950" cy="3502025"/>
                    </a:xfrm>
                    <a:prstGeom prst="rect">
                      <a:avLst/>
                    </a:prstGeom>
                    <a:noFill/>
                    <a:ln>
                      <a:noFill/>
                    </a:ln>
                  </pic:spPr>
                </pic:pic>
              </a:graphicData>
            </a:graphic>
          </wp:inline>
        </w:drawing>
      </w:r>
    </w:p>
    <w:p w14:paraId="6E944C69">
      <w:pPr>
        <w:pStyle w:val="7"/>
        <w:spacing w:before="87"/>
        <w:ind w:left="120"/>
        <w:rPr>
          <w:rFonts w:hint="eastAsia" w:ascii="宋体" w:hAnsi="宋体" w:cs="宋体"/>
          <w:b/>
          <w:color w:val="auto"/>
          <w:sz w:val="21"/>
          <w:szCs w:val="21"/>
          <w:highlight w:val="none"/>
        </w:rPr>
      </w:pPr>
      <w:r>
        <w:rPr>
          <w:rFonts w:hint="eastAsia" w:ascii="宋体" w:hAnsi="宋体" w:cs="宋体"/>
          <w:b/>
          <w:color w:val="auto"/>
          <w:spacing w:val="-15"/>
          <w:w w:val="99"/>
          <w:sz w:val="21"/>
          <w:szCs w:val="21"/>
          <w:highlight w:val="none"/>
        </w:rPr>
        <w:t>如果不点击“自定义安装”，点击“快速安装”按钮，则直接开始安装驱动，安装位置默认。</w:t>
      </w:r>
    </w:p>
    <w:p w14:paraId="658EC517">
      <w:pPr>
        <w:pStyle w:val="7"/>
        <w:spacing w:before="43"/>
        <w:ind w:left="120"/>
        <w:rPr>
          <w:rFonts w:hint="eastAsia" w:ascii="宋体" w:hAnsi="宋体" w:cs="宋体"/>
          <w:b/>
          <w:color w:val="auto"/>
          <w:sz w:val="21"/>
          <w:szCs w:val="21"/>
          <w:highlight w:val="none"/>
        </w:rPr>
      </w:pPr>
      <w:r>
        <w:rPr>
          <w:rFonts w:hint="eastAsia" w:ascii="宋体" w:hAnsi="宋体" w:cs="宋体"/>
          <w:b/>
          <w:color w:val="auto"/>
          <w:sz w:val="21"/>
          <w:szCs w:val="21"/>
          <w:highlight w:val="none"/>
        </w:rPr>
        <w:t>3、选择需要安装的目录，点击“立即安装”按钮，开始安装驱动。</w:t>
      </w:r>
    </w:p>
    <w:p w14:paraId="05545AD3">
      <w:pPr>
        <w:pStyle w:val="7"/>
        <w:rPr>
          <w:rFonts w:hint="eastAsia" w:ascii="宋体" w:hAnsi="宋体" w:cs="宋体"/>
          <w:b/>
          <w:color w:val="auto"/>
          <w:sz w:val="22"/>
          <w:highlight w:val="none"/>
        </w:rPr>
      </w:pPr>
      <w:r>
        <w:rPr>
          <w:rFonts w:hint="eastAsia" w:ascii="宋体" w:hAnsi="宋体" w:cs="宋体"/>
          <w:b/>
          <w:color w:val="auto"/>
          <w:sz w:val="21"/>
          <w:szCs w:val="21"/>
          <w:highlight w:val="none"/>
        </w:rPr>
        <w:drawing>
          <wp:inline distT="0" distB="0" distL="114300" distR="114300">
            <wp:extent cx="5314315" cy="3218180"/>
            <wp:effectExtent l="0" t="0" r="635" b="1270"/>
            <wp:docPr id="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
                    <pic:cNvPicPr>
                      <a:picLocks noChangeAspect="1"/>
                    </pic:cNvPicPr>
                  </pic:nvPicPr>
                  <pic:blipFill>
                    <a:blip r:embed="rId25"/>
                    <a:stretch>
                      <a:fillRect/>
                    </a:stretch>
                  </pic:blipFill>
                  <pic:spPr>
                    <a:xfrm>
                      <a:off x="0" y="0"/>
                      <a:ext cx="5314315" cy="3218180"/>
                    </a:xfrm>
                    <a:prstGeom prst="rect">
                      <a:avLst/>
                    </a:prstGeom>
                    <a:noFill/>
                    <a:ln>
                      <a:noFill/>
                    </a:ln>
                  </pic:spPr>
                </pic:pic>
              </a:graphicData>
            </a:graphic>
          </wp:inline>
        </w:drawing>
      </w:r>
    </w:p>
    <w:p w14:paraId="683B69AA">
      <w:pPr>
        <w:pStyle w:val="7"/>
        <w:spacing w:before="4"/>
        <w:rPr>
          <w:rFonts w:hint="eastAsia" w:ascii="宋体" w:hAnsi="宋体" w:cs="宋体"/>
          <w:b/>
          <w:color w:val="auto"/>
          <w:sz w:val="17"/>
          <w:highlight w:val="none"/>
        </w:rPr>
      </w:pPr>
    </w:p>
    <w:p w14:paraId="10904DB7">
      <w:pPr>
        <w:pStyle w:val="7"/>
        <w:ind w:left="120"/>
        <w:rPr>
          <w:rFonts w:hint="eastAsia" w:ascii="宋体" w:hAnsi="宋体" w:cs="宋体"/>
          <w:b/>
          <w:color w:val="auto"/>
          <w:sz w:val="21"/>
          <w:szCs w:val="21"/>
          <w:highlight w:val="none"/>
        </w:rPr>
      </w:pPr>
      <w:r>
        <w:rPr>
          <w:rFonts w:hint="eastAsia" w:ascii="宋体" w:hAnsi="宋体" w:cs="宋体"/>
          <w:b/>
          <w:color w:val="auto"/>
          <w:sz w:val="21"/>
          <w:szCs w:val="21"/>
          <w:highlight w:val="none"/>
        </w:rPr>
        <w:t>4、驱动安装完成后，打开完成界面。</w:t>
      </w:r>
    </w:p>
    <w:p w14:paraId="7CE18E30">
      <w:pPr>
        <w:rPr>
          <w:rFonts w:hint="eastAsia" w:ascii="宋体" w:hAnsi="宋体" w:cs="宋体"/>
          <w:b/>
          <w:color w:val="auto"/>
          <w:highlight w:val="none"/>
        </w:rPr>
        <w:sectPr>
          <w:pgSz w:w="11910" w:h="16840"/>
          <w:pgMar w:top="1380" w:right="1500" w:bottom="1140" w:left="1680" w:header="595" w:footer="948" w:gutter="0"/>
          <w:cols w:space="720" w:num="1"/>
        </w:sectPr>
      </w:pPr>
    </w:p>
    <w:p w14:paraId="1A256FAF">
      <w:pPr>
        <w:pStyle w:val="7"/>
        <w:spacing w:before="8"/>
        <w:rPr>
          <w:rFonts w:hint="eastAsia" w:ascii="宋体" w:hAnsi="宋体" w:cs="宋体"/>
          <w:b/>
          <w:color w:val="auto"/>
          <w:sz w:val="6"/>
          <w:highlight w:val="none"/>
        </w:rPr>
      </w:pPr>
    </w:p>
    <w:p w14:paraId="72CFE116">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314950" cy="3407410"/>
            <wp:effectExtent l="0" t="0" r="0" b="2540"/>
            <wp:docPr id="5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
                    <pic:cNvPicPr>
                      <a:picLocks noChangeAspect="1"/>
                    </pic:cNvPicPr>
                  </pic:nvPicPr>
                  <pic:blipFill>
                    <a:blip r:embed="rId26"/>
                    <a:stretch>
                      <a:fillRect/>
                    </a:stretch>
                  </pic:blipFill>
                  <pic:spPr>
                    <a:xfrm>
                      <a:off x="0" y="0"/>
                      <a:ext cx="5314950" cy="3407410"/>
                    </a:xfrm>
                    <a:prstGeom prst="rect">
                      <a:avLst/>
                    </a:prstGeom>
                    <a:noFill/>
                    <a:ln>
                      <a:noFill/>
                    </a:ln>
                  </pic:spPr>
                </pic:pic>
              </a:graphicData>
            </a:graphic>
          </wp:inline>
        </w:drawing>
      </w:r>
    </w:p>
    <w:p w14:paraId="1993110D">
      <w:pPr>
        <w:pStyle w:val="7"/>
        <w:rPr>
          <w:rFonts w:hint="eastAsia" w:ascii="宋体" w:hAnsi="宋体" w:cs="宋体"/>
          <w:b/>
          <w:color w:val="auto"/>
          <w:sz w:val="20"/>
          <w:highlight w:val="none"/>
        </w:rPr>
      </w:pPr>
    </w:p>
    <w:p w14:paraId="04A10888">
      <w:pPr>
        <w:pStyle w:val="7"/>
        <w:rPr>
          <w:rFonts w:hint="eastAsia" w:ascii="宋体" w:hAnsi="宋体" w:cs="宋体"/>
          <w:b/>
          <w:color w:val="auto"/>
          <w:sz w:val="20"/>
          <w:highlight w:val="none"/>
        </w:rPr>
      </w:pPr>
    </w:p>
    <w:p w14:paraId="47CC4D0E">
      <w:pPr>
        <w:pStyle w:val="7"/>
        <w:rPr>
          <w:rFonts w:hint="eastAsia" w:ascii="宋体" w:hAnsi="宋体" w:cs="宋体"/>
          <w:b/>
          <w:color w:val="auto"/>
          <w:sz w:val="20"/>
          <w:highlight w:val="none"/>
        </w:rPr>
      </w:pPr>
    </w:p>
    <w:p w14:paraId="7BED4FE7">
      <w:pPr>
        <w:pStyle w:val="7"/>
        <w:rPr>
          <w:rFonts w:hint="eastAsia" w:ascii="宋体" w:hAnsi="宋体" w:cs="宋体"/>
          <w:b/>
          <w:color w:val="auto"/>
          <w:sz w:val="20"/>
          <w:highlight w:val="none"/>
        </w:rPr>
      </w:pPr>
    </w:p>
    <w:p w14:paraId="3B119F89">
      <w:pPr>
        <w:pStyle w:val="7"/>
        <w:spacing w:before="10"/>
        <w:rPr>
          <w:rFonts w:hint="eastAsia" w:ascii="宋体" w:hAnsi="宋体" w:cs="宋体"/>
          <w:b/>
          <w:color w:val="auto"/>
          <w:sz w:val="25"/>
          <w:highlight w:val="none"/>
        </w:rPr>
      </w:pPr>
      <w:r>
        <w:rPr>
          <w:rFonts w:hint="eastAsia" w:ascii="宋体" w:hAnsi="宋体" w:cs="宋体"/>
          <w:b/>
          <w:color w:val="auto"/>
          <w:highlight w:val="none"/>
        </w:rPr>
        <w:drawing>
          <wp:anchor distT="0" distB="0" distL="114300" distR="114300" simplePos="0" relativeHeight="251663360" behindDoc="1" locked="0" layoutInCell="1" allowOverlap="1">
            <wp:simplePos x="0" y="0"/>
            <wp:positionH relativeFrom="page">
              <wp:posOffset>4910455</wp:posOffset>
            </wp:positionH>
            <wp:positionV relativeFrom="paragraph">
              <wp:posOffset>276860</wp:posOffset>
            </wp:positionV>
            <wp:extent cx="716280" cy="845820"/>
            <wp:effectExtent l="0" t="0" r="7620" b="11430"/>
            <wp:wrapNone/>
            <wp:docPr id="58"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6.jpeg"/>
                    <pic:cNvPicPr>
                      <a:picLocks noChangeAspect="1"/>
                    </pic:cNvPicPr>
                  </pic:nvPicPr>
                  <pic:blipFill>
                    <a:blip r:embed="rId27"/>
                    <a:stretch>
                      <a:fillRect/>
                    </a:stretch>
                  </pic:blipFill>
                  <pic:spPr>
                    <a:xfrm>
                      <a:off x="0" y="0"/>
                      <a:ext cx="716280" cy="845820"/>
                    </a:xfrm>
                    <a:prstGeom prst="rect">
                      <a:avLst/>
                    </a:prstGeom>
                    <a:noFill/>
                    <a:ln>
                      <a:noFill/>
                    </a:ln>
                  </pic:spPr>
                </pic:pic>
              </a:graphicData>
            </a:graphic>
          </wp:anchor>
        </w:drawing>
      </w:r>
    </w:p>
    <w:p w14:paraId="781DD1E7">
      <w:pPr>
        <w:pStyle w:val="7"/>
        <w:spacing w:before="70"/>
        <w:ind w:left="120"/>
        <w:rPr>
          <w:rFonts w:hint="eastAsia" w:ascii="宋体" w:hAnsi="宋体" w:cs="宋体"/>
          <w:b/>
          <w:color w:val="auto"/>
          <w:highlight w:val="none"/>
        </w:rPr>
      </w:pPr>
      <w:r>
        <w:rPr>
          <w:rFonts w:hint="eastAsia" w:ascii="宋体" w:hAnsi="宋体" w:cs="宋体"/>
          <w:b/>
          <w:color w:val="auto"/>
          <w:highlight w:val="none"/>
        </w:rPr>
        <w:t>5、点击“完成”按钮，驱动安装成功，桌面显示图标</w:t>
      </w:r>
    </w:p>
    <w:p w14:paraId="3278E3B6">
      <w:pPr>
        <w:pStyle w:val="7"/>
        <w:rPr>
          <w:rFonts w:hint="eastAsia" w:ascii="宋体" w:hAnsi="宋体" w:cs="宋体"/>
          <w:b/>
          <w:color w:val="auto"/>
          <w:sz w:val="22"/>
          <w:highlight w:val="none"/>
        </w:rPr>
      </w:pPr>
    </w:p>
    <w:p w14:paraId="475B2AE6">
      <w:pPr>
        <w:pStyle w:val="7"/>
        <w:spacing w:before="6"/>
        <w:rPr>
          <w:rFonts w:hint="eastAsia" w:ascii="宋体" w:hAnsi="宋体" w:cs="宋体"/>
          <w:b/>
          <w:color w:val="auto"/>
          <w:sz w:val="20"/>
          <w:highlight w:val="none"/>
        </w:rPr>
      </w:pPr>
    </w:p>
    <w:p w14:paraId="673F0529">
      <w:pPr>
        <w:tabs>
          <w:tab w:val="left" w:pos="574"/>
        </w:tabs>
        <w:autoSpaceDE w:val="0"/>
        <w:autoSpaceDN w:val="0"/>
        <w:spacing w:before="120" w:after="120"/>
        <w:rPr>
          <w:rFonts w:hint="eastAsia" w:ascii="宋体" w:hAnsi="宋体" w:cs="宋体"/>
          <w:b/>
          <w:color w:val="auto"/>
          <w:spacing w:val="1"/>
          <w:w w:val="99"/>
          <w:sz w:val="28"/>
          <w:szCs w:val="28"/>
          <w:highlight w:val="none"/>
        </w:rPr>
      </w:pPr>
    </w:p>
    <w:p w14:paraId="160AAD9C">
      <w:pPr>
        <w:tabs>
          <w:tab w:val="left" w:pos="574"/>
        </w:tabs>
        <w:autoSpaceDE w:val="0"/>
        <w:autoSpaceDN w:val="0"/>
        <w:spacing w:before="120" w:after="120"/>
        <w:rPr>
          <w:rFonts w:hint="eastAsia" w:ascii="宋体" w:hAnsi="宋体" w:cs="宋体"/>
          <w:b/>
          <w:color w:val="auto"/>
          <w:highlight w:val="none"/>
        </w:rPr>
      </w:pPr>
      <w:r>
        <w:rPr>
          <w:rFonts w:hint="eastAsia" w:ascii="宋体" w:hAnsi="宋体" w:cs="宋体"/>
          <w:b/>
          <w:color w:val="auto"/>
          <w:spacing w:val="1"/>
          <w:w w:val="99"/>
          <w:sz w:val="28"/>
          <w:szCs w:val="28"/>
          <w:highlight w:val="none"/>
        </w:rPr>
        <w:t>1.2</w:t>
      </w:r>
      <w:r>
        <w:rPr>
          <w:rFonts w:hint="eastAsia" w:ascii="宋体" w:hAnsi="宋体" w:cs="宋体"/>
          <w:b/>
          <w:color w:val="auto"/>
          <w:spacing w:val="-11"/>
          <w:highlight w:val="none"/>
        </w:rPr>
        <w:t>、 浏览器配置</w:t>
      </w:r>
    </w:p>
    <w:p w14:paraId="5D1A708C">
      <w:pPr>
        <w:tabs>
          <w:tab w:val="left" w:pos="828"/>
        </w:tabs>
        <w:autoSpaceDE w:val="0"/>
        <w:autoSpaceDN w:val="0"/>
        <w:rPr>
          <w:rFonts w:hint="eastAsia" w:ascii="宋体" w:hAnsi="宋体" w:cs="宋体"/>
          <w:b/>
          <w:color w:val="auto"/>
          <w:highlight w:val="none"/>
        </w:rPr>
      </w:pPr>
      <w:r>
        <w:rPr>
          <w:rFonts w:hint="eastAsia" w:ascii="宋体" w:hAnsi="宋体" w:cs="宋体"/>
          <w:b/>
          <w:color w:val="auto"/>
          <w:highlight w:val="none"/>
        </w:rPr>
        <w:t xml:space="preserve">1.2.1、 </w:t>
      </w:r>
      <w:bookmarkStart w:id="1" w:name="_bookmark4"/>
      <w:bookmarkEnd w:id="1"/>
      <w:r>
        <w:rPr>
          <w:rFonts w:hint="eastAsia" w:ascii="宋体" w:hAnsi="宋体" w:cs="宋体"/>
          <w:b/>
          <w:color w:val="auto"/>
          <w:highlight w:val="none"/>
        </w:rPr>
        <w:t>Internet</w:t>
      </w:r>
      <w:r>
        <w:rPr>
          <w:rFonts w:hint="eastAsia" w:ascii="宋体" w:hAnsi="宋体" w:cs="宋体"/>
          <w:b/>
          <w:color w:val="auto"/>
          <w:spacing w:val="-22"/>
          <w:highlight w:val="none"/>
        </w:rPr>
        <w:t xml:space="preserve"> 选 项</w:t>
      </w:r>
    </w:p>
    <w:p w14:paraId="6D8873B0">
      <w:pPr>
        <w:pStyle w:val="7"/>
        <w:spacing w:before="5"/>
        <w:rPr>
          <w:rFonts w:hint="eastAsia" w:ascii="宋体" w:hAnsi="宋体" w:cs="宋体"/>
          <w:b/>
          <w:color w:val="auto"/>
          <w:sz w:val="25"/>
          <w:highlight w:val="none"/>
        </w:rPr>
      </w:pPr>
    </w:p>
    <w:p w14:paraId="1F0ADC03">
      <w:pPr>
        <w:pStyle w:val="7"/>
        <w:spacing w:before="1" w:line="240" w:lineRule="auto"/>
        <w:rPr>
          <w:rFonts w:hint="eastAsia" w:ascii="宋体" w:hAnsi="宋体" w:cs="宋体"/>
          <w:b/>
          <w:color w:val="auto"/>
          <w:sz w:val="21"/>
          <w:szCs w:val="21"/>
          <w:highlight w:val="none"/>
        </w:rPr>
      </w:pPr>
      <w:r>
        <w:rPr>
          <w:rFonts w:hint="eastAsia" w:ascii="宋体" w:hAnsi="宋体" w:cs="宋体"/>
          <w:b/>
          <w:color w:val="auto"/>
          <w:sz w:val="21"/>
          <w:szCs w:val="21"/>
          <w:highlight w:val="none"/>
        </w:rPr>
        <w:t>为了让系统插件能够正常工作，请按照以下步骤进行浏览器的配置。</w:t>
      </w:r>
    </w:p>
    <w:p w14:paraId="07454760">
      <w:pPr>
        <w:rPr>
          <w:rFonts w:hint="eastAsia" w:ascii="宋体" w:hAnsi="宋体" w:cs="宋体"/>
          <w:b/>
          <w:color w:val="auto"/>
          <w:szCs w:val="21"/>
          <w:highlight w:val="none"/>
        </w:rPr>
      </w:pPr>
      <w:r>
        <w:rPr>
          <w:rFonts w:hint="eastAsia" w:ascii="宋体" w:hAnsi="宋体" w:cs="宋体"/>
          <w:b/>
          <w:color w:val="auto"/>
          <w:szCs w:val="21"/>
          <w:highlight w:val="none"/>
        </w:rPr>
        <w:t>本系统环境仅支持IE 浏览器，请注意是否使用的为IE 浏览器。</w:t>
      </w:r>
    </w:p>
    <w:p w14:paraId="425B1E89">
      <w:pPr>
        <w:spacing w:before="153"/>
        <w:ind w:left="120"/>
        <w:rPr>
          <w:rFonts w:hint="eastAsia" w:ascii="宋体" w:hAnsi="宋体" w:cs="宋体"/>
          <w:b/>
          <w:color w:val="auto"/>
          <w:highlight w:val="none"/>
        </w:rPr>
      </w:pPr>
      <w:r>
        <w:rPr>
          <w:rFonts w:hint="eastAsia" w:ascii="宋体" w:hAnsi="宋体" w:cs="宋体"/>
          <w:b/>
          <w:color w:val="auto"/>
          <w:spacing w:val="1"/>
          <w:w w:val="99"/>
          <w:szCs w:val="21"/>
          <w:highlight w:val="none"/>
        </w:rPr>
        <w:t>1</w:t>
      </w:r>
      <w:r>
        <w:rPr>
          <w:rFonts w:hint="eastAsia" w:ascii="宋体" w:hAnsi="宋体" w:cs="宋体"/>
          <w:b/>
          <w:color w:val="auto"/>
          <w:spacing w:val="-1"/>
          <w:w w:val="99"/>
          <w:szCs w:val="21"/>
          <w:highlight w:val="none"/>
        </w:rPr>
        <w:t>、</w:t>
      </w:r>
      <w:r>
        <w:rPr>
          <w:rFonts w:hint="eastAsia" w:ascii="宋体" w:hAnsi="宋体" w:cs="宋体"/>
          <w:b/>
          <w:color w:val="auto"/>
          <w:spacing w:val="1"/>
          <w:w w:val="99"/>
          <w:szCs w:val="21"/>
          <w:highlight w:val="none"/>
        </w:rPr>
        <w:t>请使用</w:t>
      </w:r>
      <w:r>
        <w:rPr>
          <w:rFonts w:hint="eastAsia" w:ascii="宋体" w:hAnsi="宋体" w:cs="宋体"/>
          <w:b/>
          <w:color w:val="auto"/>
          <w:spacing w:val="-54"/>
          <w:szCs w:val="21"/>
          <w:highlight w:val="none"/>
        </w:rPr>
        <w:t xml:space="preserve"> </w:t>
      </w:r>
      <w:r>
        <w:rPr>
          <w:rFonts w:hint="eastAsia" w:ascii="宋体" w:hAnsi="宋体" w:cs="宋体"/>
          <w:b/>
          <w:color w:val="auto"/>
          <w:spacing w:val="3"/>
          <w:w w:val="98"/>
          <w:szCs w:val="21"/>
          <w:highlight w:val="none"/>
        </w:rPr>
        <w:t>I</w:t>
      </w:r>
      <w:r>
        <w:rPr>
          <w:rFonts w:hint="eastAsia" w:ascii="宋体" w:hAnsi="宋体" w:cs="宋体"/>
          <w:b/>
          <w:color w:val="auto"/>
          <w:w w:val="98"/>
          <w:szCs w:val="21"/>
          <w:highlight w:val="none"/>
        </w:rPr>
        <w:t>E</w:t>
      </w:r>
      <w:r>
        <w:rPr>
          <w:rFonts w:hint="eastAsia" w:ascii="宋体" w:hAnsi="宋体" w:cs="宋体"/>
          <w:b/>
          <w:color w:val="auto"/>
          <w:spacing w:val="-52"/>
          <w:szCs w:val="21"/>
          <w:highlight w:val="none"/>
        </w:rPr>
        <w:t xml:space="preserve"> </w:t>
      </w:r>
      <w:r>
        <w:rPr>
          <w:rFonts w:hint="eastAsia" w:ascii="宋体" w:hAnsi="宋体" w:cs="宋体"/>
          <w:b/>
          <w:color w:val="auto"/>
          <w:spacing w:val="1"/>
          <w:w w:val="99"/>
          <w:szCs w:val="21"/>
          <w:highlight w:val="none"/>
        </w:rPr>
        <w:t>浏览器。</w:t>
      </w:r>
      <w:r>
        <w:rPr>
          <w:rFonts w:hint="eastAsia" w:ascii="宋体" w:hAnsi="宋体" w:cs="宋体"/>
          <w:b/>
          <w:color w:val="auto"/>
          <w:spacing w:val="-1"/>
          <w:w w:val="99"/>
          <w:szCs w:val="21"/>
          <w:highlight w:val="none"/>
        </w:rPr>
        <w:t>打开浏览器，在“工具”菜单→“</w:t>
      </w:r>
      <w:r>
        <w:rPr>
          <w:rFonts w:hint="eastAsia" w:ascii="宋体" w:hAnsi="宋体" w:cs="宋体"/>
          <w:b/>
          <w:color w:val="auto"/>
          <w:spacing w:val="1"/>
          <w:w w:val="99"/>
          <w:szCs w:val="21"/>
          <w:highlight w:val="none"/>
        </w:rPr>
        <w:t>Inte</w:t>
      </w:r>
      <w:r>
        <w:rPr>
          <w:rFonts w:hint="eastAsia" w:ascii="宋体" w:hAnsi="宋体" w:cs="宋体"/>
          <w:b/>
          <w:color w:val="auto"/>
          <w:spacing w:val="-2"/>
          <w:w w:val="99"/>
          <w:szCs w:val="21"/>
          <w:highlight w:val="none"/>
        </w:rPr>
        <w:t>r</w:t>
      </w:r>
      <w:r>
        <w:rPr>
          <w:rFonts w:hint="eastAsia" w:ascii="宋体" w:hAnsi="宋体" w:cs="宋体"/>
          <w:b/>
          <w:color w:val="auto"/>
          <w:spacing w:val="1"/>
          <w:w w:val="99"/>
          <w:szCs w:val="21"/>
          <w:highlight w:val="none"/>
        </w:rPr>
        <w:t>ne</w:t>
      </w:r>
      <w:r>
        <w:rPr>
          <w:rFonts w:hint="eastAsia" w:ascii="宋体" w:hAnsi="宋体" w:cs="宋体"/>
          <w:b/>
          <w:color w:val="auto"/>
          <w:w w:val="99"/>
          <w:szCs w:val="21"/>
          <w:highlight w:val="none"/>
        </w:rPr>
        <w:t>t</w:t>
      </w:r>
      <w:r>
        <w:rPr>
          <w:rFonts w:hint="eastAsia" w:ascii="宋体" w:hAnsi="宋体" w:cs="宋体"/>
          <w:b/>
          <w:color w:val="auto"/>
          <w:spacing w:val="-54"/>
          <w:szCs w:val="21"/>
          <w:highlight w:val="none"/>
        </w:rPr>
        <w:t xml:space="preserve"> </w:t>
      </w:r>
      <w:r>
        <w:rPr>
          <w:rFonts w:hint="eastAsia" w:ascii="宋体" w:hAnsi="宋体" w:cs="宋体"/>
          <w:b/>
          <w:color w:val="auto"/>
          <w:spacing w:val="-14"/>
          <w:w w:val="99"/>
          <w:szCs w:val="21"/>
          <w:highlight w:val="none"/>
        </w:rPr>
        <w:t>选项”，如下图：</w:t>
      </w:r>
    </w:p>
    <w:p w14:paraId="6674CADC">
      <w:pPr>
        <w:rPr>
          <w:rFonts w:hint="eastAsia" w:ascii="宋体" w:hAnsi="宋体" w:cs="宋体"/>
          <w:b/>
          <w:color w:val="auto"/>
          <w:highlight w:val="none"/>
        </w:rPr>
        <w:sectPr>
          <w:pgSz w:w="11910" w:h="16840"/>
          <w:pgMar w:top="1380" w:right="1500" w:bottom="1140" w:left="1680" w:header="595" w:footer="948" w:gutter="0"/>
          <w:cols w:space="720" w:num="1"/>
        </w:sectPr>
      </w:pPr>
    </w:p>
    <w:p w14:paraId="53922747">
      <w:pPr>
        <w:pStyle w:val="7"/>
        <w:spacing w:before="10"/>
        <w:rPr>
          <w:rFonts w:hint="eastAsia" w:ascii="宋体" w:hAnsi="宋体" w:cs="宋体"/>
          <w:b/>
          <w:color w:val="auto"/>
          <w:sz w:val="4"/>
          <w:highlight w:val="none"/>
        </w:rPr>
      </w:pPr>
    </w:p>
    <w:p w14:paraId="3E3A1837">
      <w:pPr>
        <w:pStyle w:val="7"/>
        <w:ind w:left="1464"/>
        <w:rPr>
          <w:rFonts w:hint="eastAsia" w:ascii="宋体" w:hAnsi="宋体" w:cs="宋体"/>
          <w:b/>
          <w:color w:val="auto"/>
          <w:sz w:val="20"/>
          <w:highlight w:val="none"/>
        </w:rPr>
      </w:pPr>
      <w:r>
        <w:rPr>
          <w:rFonts w:hint="eastAsia" w:ascii="宋体" w:hAnsi="宋体" w:cs="宋体"/>
          <w:b/>
          <w:color w:val="auto"/>
          <w:highlight w:val="none"/>
        </w:rPr>
        <w:drawing>
          <wp:inline distT="0" distB="0" distL="114300" distR="114300">
            <wp:extent cx="2903855" cy="3462655"/>
            <wp:effectExtent l="0" t="0" r="10795" b="4445"/>
            <wp:docPr id="5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6"/>
                    <pic:cNvPicPr>
                      <a:picLocks noChangeAspect="1"/>
                    </pic:cNvPicPr>
                  </pic:nvPicPr>
                  <pic:blipFill>
                    <a:blip r:embed="rId28"/>
                    <a:stretch>
                      <a:fillRect/>
                    </a:stretch>
                  </pic:blipFill>
                  <pic:spPr>
                    <a:xfrm>
                      <a:off x="0" y="0"/>
                      <a:ext cx="2903855" cy="3462655"/>
                    </a:xfrm>
                    <a:prstGeom prst="rect">
                      <a:avLst/>
                    </a:prstGeom>
                    <a:noFill/>
                    <a:ln>
                      <a:noFill/>
                    </a:ln>
                  </pic:spPr>
                </pic:pic>
              </a:graphicData>
            </a:graphic>
          </wp:inline>
        </w:drawing>
      </w:r>
    </w:p>
    <w:p w14:paraId="6E94B402">
      <w:pPr>
        <w:pStyle w:val="7"/>
        <w:numPr>
          <w:ilvl w:val="0"/>
          <w:numId w:val="2"/>
        </w:numPr>
        <w:spacing w:before="14"/>
        <w:ind w:left="120"/>
        <w:rPr>
          <w:rFonts w:hint="eastAsia" w:ascii="宋体" w:hAnsi="宋体" w:cs="宋体"/>
          <w:b/>
          <w:color w:val="auto"/>
          <w:sz w:val="21"/>
          <w:szCs w:val="21"/>
          <w:highlight w:val="none"/>
        </w:rPr>
      </w:pPr>
      <w:r>
        <w:rPr>
          <w:rFonts w:hint="eastAsia" w:ascii="宋体" w:hAnsi="宋体" w:cs="宋体"/>
          <w:b/>
          <w:color w:val="auto"/>
          <w:sz w:val="21"/>
          <w:szCs w:val="21"/>
          <w:highlight w:val="none"/>
        </w:rPr>
        <w:t>弹出对话框之后，请选择“安全”选项卡，具体的界面，如下图：</w:t>
      </w:r>
    </w:p>
    <w:p w14:paraId="555A028C">
      <w:pPr>
        <w:pStyle w:val="7"/>
        <w:spacing w:before="14"/>
        <w:rPr>
          <w:rFonts w:hint="eastAsia" w:ascii="宋体" w:hAnsi="宋体" w:cs="宋体"/>
          <w:b/>
          <w:color w:val="auto"/>
          <w:sz w:val="21"/>
          <w:szCs w:val="21"/>
          <w:highlight w:val="none"/>
        </w:rPr>
      </w:pPr>
      <w:r>
        <w:rPr>
          <w:rFonts w:hint="eastAsia" w:ascii="宋体" w:hAnsi="宋体" w:cs="宋体"/>
          <w:b/>
          <w:color w:val="auto"/>
          <w:sz w:val="20"/>
          <w:highlight w:val="none"/>
        </w:rPr>
        <w:drawing>
          <wp:inline distT="0" distB="0" distL="114300" distR="114300">
            <wp:extent cx="3577590" cy="3167380"/>
            <wp:effectExtent l="0" t="0" r="3810" b="13970"/>
            <wp:docPr id="6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7"/>
                    <pic:cNvPicPr>
                      <a:picLocks noChangeAspect="1"/>
                    </pic:cNvPicPr>
                  </pic:nvPicPr>
                  <pic:blipFill>
                    <a:blip r:embed="rId29"/>
                    <a:stretch>
                      <a:fillRect/>
                    </a:stretch>
                  </pic:blipFill>
                  <pic:spPr>
                    <a:xfrm>
                      <a:off x="0" y="0"/>
                      <a:ext cx="3577590" cy="3167380"/>
                    </a:xfrm>
                    <a:prstGeom prst="rect">
                      <a:avLst/>
                    </a:prstGeom>
                    <a:noFill/>
                    <a:ln>
                      <a:noFill/>
                    </a:ln>
                  </pic:spPr>
                </pic:pic>
              </a:graphicData>
            </a:graphic>
          </wp:inline>
        </w:drawing>
      </w:r>
    </w:p>
    <w:p w14:paraId="201ABDC3">
      <w:pPr>
        <w:pStyle w:val="7"/>
        <w:spacing w:before="95"/>
        <w:ind w:left="120"/>
        <w:rPr>
          <w:rFonts w:hint="eastAsia" w:ascii="宋体" w:hAnsi="宋体" w:cs="宋体"/>
          <w:b/>
          <w:color w:val="auto"/>
          <w:sz w:val="21"/>
          <w:szCs w:val="21"/>
          <w:highlight w:val="none"/>
        </w:rPr>
      </w:pPr>
      <w:r>
        <w:rPr>
          <w:rFonts w:hint="eastAsia" w:ascii="宋体" w:hAnsi="宋体" w:cs="宋体"/>
          <w:b/>
          <w:color w:val="auto"/>
          <w:sz w:val="21"/>
          <w:szCs w:val="21"/>
          <w:highlight w:val="none"/>
        </w:rPr>
        <w:t>3、点击绿色的“可信站点”的图片，如下图：</w:t>
      </w:r>
    </w:p>
    <w:p w14:paraId="3083ED35">
      <w:pPr>
        <w:rPr>
          <w:rFonts w:hint="eastAsia" w:ascii="宋体" w:hAnsi="宋体" w:cs="宋体"/>
          <w:b/>
          <w:color w:val="auto"/>
          <w:highlight w:val="none"/>
        </w:rPr>
        <w:sectPr>
          <w:pgSz w:w="11910" w:h="16840"/>
          <w:pgMar w:top="1380" w:right="1500" w:bottom="1140" w:left="1680" w:header="595" w:footer="948" w:gutter="0"/>
          <w:cols w:space="720" w:num="1"/>
        </w:sectPr>
      </w:pPr>
    </w:p>
    <w:p w14:paraId="53EE1514">
      <w:pPr>
        <w:pStyle w:val="7"/>
        <w:spacing w:before="8"/>
        <w:rPr>
          <w:rFonts w:hint="eastAsia" w:ascii="宋体" w:hAnsi="宋体" w:cs="宋体"/>
          <w:b/>
          <w:color w:val="auto"/>
          <w:sz w:val="7"/>
          <w:highlight w:val="none"/>
        </w:rPr>
      </w:pPr>
    </w:p>
    <w:p w14:paraId="77F6677F">
      <w:pPr>
        <w:pStyle w:val="7"/>
        <w:ind w:left="1392"/>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3648075" cy="3895725"/>
            <wp:effectExtent l="0" t="0" r="9525" b="9525"/>
            <wp:docPr id="6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8"/>
                    <pic:cNvPicPr>
                      <a:picLocks noChangeAspect="1"/>
                    </pic:cNvPicPr>
                  </pic:nvPicPr>
                  <pic:blipFill>
                    <a:blip r:embed="rId30"/>
                    <a:stretch>
                      <a:fillRect/>
                    </a:stretch>
                  </pic:blipFill>
                  <pic:spPr>
                    <a:xfrm>
                      <a:off x="0" y="0"/>
                      <a:ext cx="3648075" cy="3895725"/>
                    </a:xfrm>
                    <a:prstGeom prst="rect">
                      <a:avLst/>
                    </a:prstGeom>
                    <a:noFill/>
                    <a:ln>
                      <a:noFill/>
                    </a:ln>
                  </pic:spPr>
                </pic:pic>
              </a:graphicData>
            </a:graphic>
          </wp:inline>
        </w:drawing>
      </w:r>
    </w:p>
    <w:p w14:paraId="1594223F">
      <w:pPr>
        <w:pStyle w:val="7"/>
        <w:spacing w:before="78"/>
        <w:ind w:left="120"/>
        <w:rPr>
          <w:rFonts w:hint="eastAsia" w:ascii="宋体" w:hAnsi="宋体" w:cs="宋体"/>
          <w:b/>
          <w:color w:val="auto"/>
          <w:highlight w:val="none"/>
        </w:rPr>
      </w:pPr>
      <w:r>
        <w:rPr>
          <w:rFonts w:hint="eastAsia" w:ascii="宋体" w:hAnsi="宋体" w:cs="宋体"/>
          <w:b/>
          <w:color w:val="auto"/>
          <w:highlight w:val="none"/>
        </w:rPr>
        <w:t>4、点击“站点”按钮，出现如下对话框，如下图：</w:t>
      </w:r>
    </w:p>
    <w:p w14:paraId="3C4B5664">
      <w:pPr>
        <w:pStyle w:val="7"/>
        <w:spacing w:before="88" w:line="278" w:lineRule="auto"/>
        <w:ind w:left="120" w:right="206"/>
        <w:rPr>
          <w:rFonts w:hint="eastAsia" w:ascii="宋体" w:hAnsi="宋体" w:cs="宋体"/>
          <w:b/>
          <w:color w:val="auto"/>
          <w:highlight w:val="none"/>
        </w:rPr>
      </w:pPr>
      <w:r>
        <w:rPr>
          <w:rFonts w:hint="eastAsia" w:ascii="宋体" w:hAnsi="宋体" w:cs="宋体"/>
          <w:b/>
          <w:color w:val="auto"/>
          <w:highlight w:val="none"/>
        </w:rPr>
        <w:drawing>
          <wp:inline distT="0" distB="0" distL="114300" distR="114300">
            <wp:extent cx="3742690" cy="3048000"/>
            <wp:effectExtent l="0" t="0" r="10160" b="0"/>
            <wp:docPr id="6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9"/>
                    <pic:cNvPicPr>
                      <a:picLocks noChangeAspect="1"/>
                    </pic:cNvPicPr>
                  </pic:nvPicPr>
                  <pic:blipFill>
                    <a:blip r:embed="rId31"/>
                    <a:stretch>
                      <a:fillRect/>
                    </a:stretch>
                  </pic:blipFill>
                  <pic:spPr>
                    <a:xfrm>
                      <a:off x="0" y="0"/>
                      <a:ext cx="3742690" cy="3048000"/>
                    </a:xfrm>
                    <a:prstGeom prst="rect">
                      <a:avLst/>
                    </a:prstGeom>
                    <a:noFill/>
                    <a:ln>
                      <a:noFill/>
                    </a:ln>
                  </pic:spPr>
                </pic:pic>
              </a:graphicData>
            </a:graphic>
          </wp:inline>
        </w:drawing>
      </w:r>
    </w:p>
    <w:p w14:paraId="0AB89108">
      <w:pPr>
        <w:pStyle w:val="7"/>
        <w:spacing w:before="88" w:line="278" w:lineRule="auto"/>
        <w:ind w:left="120" w:right="206"/>
        <w:rPr>
          <w:rFonts w:hint="eastAsia" w:ascii="宋体" w:hAnsi="宋体" w:cs="宋体"/>
          <w:b/>
          <w:color w:val="auto"/>
          <w:highlight w:val="none"/>
        </w:rPr>
      </w:pPr>
      <w:r>
        <w:rPr>
          <w:rFonts w:hint="eastAsia" w:ascii="宋体" w:hAnsi="宋体" w:cs="宋体"/>
          <w:b/>
          <w:color w:val="auto"/>
          <w:spacing w:val="-7"/>
          <w:highlight w:val="none"/>
        </w:rPr>
        <w:t xml:space="preserve">输入系统服务器的 </w:t>
      </w:r>
      <w:r>
        <w:rPr>
          <w:rFonts w:hint="eastAsia" w:ascii="宋体" w:hAnsi="宋体" w:cs="宋体"/>
          <w:b/>
          <w:color w:val="auto"/>
          <w:highlight w:val="none"/>
        </w:rPr>
        <w:t>IP</w:t>
      </w:r>
      <w:r>
        <w:rPr>
          <w:rFonts w:hint="eastAsia" w:ascii="宋体" w:hAnsi="宋体" w:cs="宋体"/>
          <w:b/>
          <w:color w:val="auto"/>
          <w:spacing w:val="-9"/>
          <w:highlight w:val="none"/>
        </w:rPr>
        <w:t xml:space="preserve"> 地址，格式例如：</w:t>
      </w:r>
      <w:r>
        <w:rPr>
          <w:rFonts w:hint="eastAsia" w:ascii="宋体" w:hAnsi="宋体" w:cs="宋体"/>
          <w:b/>
          <w:color w:val="auto"/>
          <w:highlight w:val="none"/>
        </w:rPr>
        <w:t>192.168.0.123，然后点击“添加”按钮完成添加， 再按“关闭”按钮退出。</w:t>
      </w:r>
    </w:p>
    <w:p w14:paraId="7AC27709">
      <w:pPr>
        <w:pStyle w:val="7"/>
        <w:spacing w:line="269" w:lineRule="exact"/>
        <w:ind w:left="120"/>
        <w:rPr>
          <w:rFonts w:hint="eastAsia" w:ascii="宋体" w:hAnsi="宋体" w:cs="宋体"/>
          <w:b/>
          <w:color w:val="auto"/>
          <w:highlight w:val="none"/>
        </w:rPr>
      </w:pPr>
      <w:r>
        <w:rPr>
          <w:rFonts w:hint="eastAsia" w:ascii="宋体" w:hAnsi="宋体" w:cs="宋体"/>
          <w:b/>
          <w:color w:val="auto"/>
          <w:highlight w:val="none"/>
        </w:rPr>
        <w:t>5、设置自定义安全级别，开放 Activex 的访问权限，如下图：</w:t>
      </w:r>
    </w:p>
    <w:p w14:paraId="3BCFADCF">
      <w:pPr>
        <w:spacing w:line="269" w:lineRule="exact"/>
        <w:rPr>
          <w:rFonts w:hint="eastAsia" w:ascii="宋体" w:hAnsi="宋体" w:cs="宋体"/>
          <w:b/>
          <w:color w:val="auto"/>
          <w:highlight w:val="none"/>
        </w:rPr>
        <w:sectPr>
          <w:pgSz w:w="11910" w:h="16840"/>
          <w:pgMar w:top="1380" w:right="1500" w:bottom="1140" w:left="1680" w:header="595" w:footer="948" w:gutter="0"/>
          <w:cols w:space="720" w:num="1"/>
        </w:sectPr>
      </w:pPr>
    </w:p>
    <w:p w14:paraId="56019CD2">
      <w:pPr>
        <w:pStyle w:val="7"/>
        <w:spacing w:before="11"/>
        <w:rPr>
          <w:rFonts w:hint="eastAsia" w:ascii="宋体" w:hAnsi="宋体" w:cs="宋体"/>
          <w:b/>
          <w:color w:val="auto"/>
          <w:sz w:val="3"/>
          <w:highlight w:val="none"/>
        </w:rPr>
      </w:pPr>
    </w:p>
    <w:p w14:paraId="014DE081">
      <w:pPr>
        <w:pStyle w:val="7"/>
        <w:ind w:left="1488"/>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3533775" cy="4152900"/>
            <wp:effectExtent l="0" t="0" r="9525" b="0"/>
            <wp:docPr id="6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0"/>
                    <pic:cNvPicPr>
                      <a:picLocks noChangeAspect="1"/>
                    </pic:cNvPicPr>
                  </pic:nvPicPr>
                  <pic:blipFill>
                    <a:blip r:embed="rId32"/>
                    <a:stretch>
                      <a:fillRect/>
                    </a:stretch>
                  </pic:blipFill>
                  <pic:spPr>
                    <a:xfrm>
                      <a:off x="0" y="0"/>
                      <a:ext cx="3533775" cy="4152900"/>
                    </a:xfrm>
                    <a:prstGeom prst="rect">
                      <a:avLst/>
                    </a:prstGeom>
                    <a:noFill/>
                    <a:ln>
                      <a:noFill/>
                    </a:ln>
                  </pic:spPr>
                </pic:pic>
              </a:graphicData>
            </a:graphic>
          </wp:inline>
        </w:drawing>
      </w:r>
    </w:p>
    <w:p w14:paraId="251DC8BF">
      <w:pPr>
        <w:rPr>
          <w:rFonts w:hint="eastAsia" w:ascii="宋体" w:hAnsi="宋体" w:cs="宋体"/>
          <w:b/>
          <w:color w:val="auto"/>
          <w:highlight w:val="none"/>
        </w:rPr>
      </w:pPr>
    </w:p>
    <w:p w14:paraId="2C22A498">
      <w:pPr>
        <w:tabs>
          <w:tab w:val="left" w:pos="2492"/>
        </w:tabs>
        <w:rPr>
          <w:rFonts w:hint="eastAsia" w:ascii="宋体" w:hAnsi="宋体" w:cs="宋体"/>
          <w:b/>
          <w:color w:val="auto"/>
          <w:szCs w:val="21"/>
          <w:highlight w:val="none"/>
        </w:rPr>
      </w:pPr>
      <w:r>
        <w:rPr>
          <w:rFonts w:hint="eastAsia" w:ascii="宋体" w:hAnsi="宋体" w:cs="宋体"/>
          <w:b/>
          <w:color w:val="auto"/>
          <w:szCs w:val="21"/>
          <w:highlight w:val="none"/>
        </w:rPr>
        <w:t>会出现一个窗口，把其中的 Activex 控件和插件的设置全部改为启用，如下图</w:t>
      </w:r>
    </w:p>
    <w:p w14:paraId="0C83DB6E">
      <w:pPr>
        <w:tabs>
          <w:tab w:val="left" w:pos="2492"/>
        </w:tabs>
        <w:jc w:val="center"/>
        <w:rPr>
          <w:rFonts w:hint="eastAsia" w:ascii="宋体" w:hAnsi="宋体" w:cs="宋体"/>
          <w:b/>
          <w:color w:val="auto"/>
          <w:szCs w:val="21"/>
          <w:highlight w:val="none"/>
        </w:rPr>
      </w:pPr>
      <w:r>
        <w:rPr>
          <w:rFonts w:hint="eastAsia" w:ascii="宋体" w:hAnsi="宋体" w:cs="宋体"/>
          <w:b/>
          <w:color w:val="auto"/>
          <w:szCs w:val="21"/>
          <w:highlight w:val="none"/>
        </w:rPr>
        <w:drawing>
          <wp:inline distT="0" distB="0" distL="114300" distR="114300">
            <wp:extent cx="3486150" cy="3676650"/>
            <wp:effectExtent l="0" t="0" r="0" b="0"/>
            <wp:docPr id="6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1"/>
                    <pic:cNvPicPr>
                      <a:picLocks noChangeAspect="1"/>
                    </pic:cNvPicPr>
                  </pic:nvPicPr>
                  <pic:blipFill>
                    <a:blip r:embed="rId33"/>
                    <a:stretch>
                      <a:fillRect/>
                    </a:stretch>
                  </pic:blipFill>
                  <pic:spPr>
                    <a:xfrm>
                      <a:off x="0" y="0"/>
                      <a:ext cx="3486150" cy="3676650"/>
                    </a:xfrm>
                    <a:prstGeom prst="rect">
                      <a:avLst/>
                    </a:prstGeom>
                    <a:noFill/>
                    <a:ln>
                      <a:noFill/>
                    </a:ln>
                  </pic:spPr>
                </pic:pic>
              </a:graphicData>
            </a:graphic>
          </wp:inline>
        </w:drawing>
      </w:r>
    </w:p>
    <w:p w14:paraId="0839882F">
      <w:pPr>
        <w:pStyle w:val="7"/>
        <w:spacing w:before="70"/>
        <w:ind w:left="120"/>
        <w:rPr>
          <w:rFonts w:hint="eastAsia" w:ascii="宋体" w:hAnsi="宋体" w:cs="宋体"/>
          <w:b/>
          <w:color w:val="auto"/>
          <w:highlight w:val="none"/>
        </w:rPr>
      </w:pPr>
      <w:r>
        <w:rPr>
          <w:rFonts w:hint="eastAsia" w:ascii="宋体" w:hAnsi="宋体" w:cs="宋体"/>
          <w:b/>
          <w:color w:val="auto"/>
          <w:sz w:val="21"/>
          <w:szCs w:val="21"/>
          <w:highlight w:val="none"/>
        </w:rPr>
        <w:t>文件下载设置，开放文件下载的权限：设置为启用，如下图：</w:t>
      </w:r>
    </w:p>
    <w:p w14:paraId="71316D4E">
      <w:pPr>
        <w:rPr>
          <w:rFonts w:hint="eastAsia" w:ascii="宋体" w:hAnsi="宋体" w:cs="宋体"/>
          <w:b/>
          <w:color w:val="auto"/>
          <w:highlight w:val="none"/>
        </w:rPr>
        <w:sectPr>
          <w:pgSz w:w="11910" w:h="16840"/>
          <w:pgMar w:top="1380" w:right="1500" w:bottom="1140" w:left="1680" w:header="595" w:footer="948" w:gutter="0"/>
          <w:cols w:space="720" w:num="1"/>
        </w:sectPr>
      </w:pPr>
    </w:p>
    <w:p w14:paraId="0ED8D6AB">
      <w:pPr>
        <w:pStyle w:val="7"/>
        <w:spacing w:before="8"/>
        <w:rPr>
          <w:rFonts w:hint="eastAsia" w:ascii="宋体" w:hAnsi="宋体" w:cs="宋体"/>
          <w:b/>
          <w:color w:val="auto"/>
          <w:sz w:val="6"/>
          <w:highlight w:val="none"/>
        </w:rPr>
      </w:pPr>
    </w:p>
    <w:p w14:paraId="01E6D689">
      <w:pPr>
        <w:pStyle w:val="7"/>
        <w:ind w:left="1488"/>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3517900" cy="3695700"/>
            <wp:effectExtent l="0" t="0" r="6350" b="0"/>
            <wp:docPr id="6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2"/>
                    <pic:cNvPicPr>
                      <a:picLocks noChangeAspect="1"/>
                    </pic:cNvPicPr>
                  </pic:nvPicPr>
                  <pic:blipFill>
                    <a:blip r:embed="rId34"/>
                    <a:stretch>
                      <a:fillRect/>
                    </a:stretch>
                  </pic:blipFill>
                  <pic:spPr>
                    <a:xfrm>
                      <a:off x="0" y="0"/>
                      <a:ext cx="3517900" cy="3695700"/>
                    </a:xfrm>
                    <a:prstGeom prst="rect">
                      <a:avLst/>
                    </a:prstGeom>
                    <a:noFill/>
                    <a:ln>
                      <a:noFill/>
                    </a:ln>
                  </pic:spPr>
                </pic:pic>
              </a:graphicData>
            </a:graphic>
          </wp:inline>
        </w:drawing>
      </w:r>
    </w:p>
    <w:p w14:paraId="751E210F">
      <w:pPr>
        <w:pStyle w:val="7"/>
        <w:rPr>
          <w:rFonts w:hint="eastAsia" w:ascii="宋体" w:hAnsi="宋体" w:cs="宋体"/>
          <w:b/>
          <w:color w:val="auto"/>
          <w:sz w:val="20"/>
          <w:highlight w:val="none"/>
        </w:rPr>
      </w:pPr>
    </w:p>
    <w:p w14:paraId="19A5FD4B">
      <w:pPr>
        <w:pStyle w:val="7"/>
        <w:spacing w:before="8"/>
        <w:rPr>
          <w:rFonts w:hint="eastAsia" w:ascii="宋体" w:hAnsi="宋体" w:cs="宋体"/>
          <w:b/>
          <w:color w:val="auto"/>
          <w:sz w:val="14"/>
          <w:highlight w:val="none"/>
        </w:rPr>
      </w:pPr>
    </w:p>
    <w:p w14:paraId="288EB1DA">
      <w:pPr>
        <w:tabs>
          <w:tab w:val="left" w:pos="828"/>
        </w:tabs>
        <w:autoSpaceDE w:val="0"/>
        <w:autoSpaceDN w:val="0"/>
        <w:spacing w:before="62"/>
        <w:rPr>
          <w:rFonts w:hint="eastAsia" w:ascii="宋体" w:hAnsi="宋体" w:cs="宋体"/>
          <w:b/>
          <w:color w:val="auto"/>
          <w:spacing w:val="14"/>
          <w:sz w:val="28"/>
          <w:szCs w:val="28"/>
          <w:highlight w:val="none"/>
        </w:rPr>
      </w:pPr>
      <w:r>
        <w:rPr>
          <w:rFonts w:hint="eastAsia" w:ascii="宋体" w:hAnsi="宋体" w:cs="宋体"/>
          <w:b/>
          <w:color w:val="auto"/>
          <w:spacing w:val="14"/>
          <w:sz w:val="28"/>
          <w:szCs w:val="28"/>
          <w:highlight w:val="none"/>
        </w:rPr>
        <w:t>1.2.2、 关闭拦截工具</w:t>
      </w:r>
    </w:p>
    <w:p w14:paraId="183428D5">
      <w:pPr>
        <w:rPr>
          <w:rFonts w:hint="eastAsia" w:ascii="宋体" w:hAnsi="宋体" w:cs="宋体"/>
          <w:b/>
          <w:color w:val="auto"/>
          <w:highlight w:val="none"/>
        </w:rPr>
      </w:pPr>
    </w:p>
    <w:p w14:paraId="3462F523">
      <w:pPr>
        <w:pStyle w:val="7"/>
        <w:spacing w:before="1" w:after="17" w:line="278" w:lineRule="auto"/>
        <w:ind w:left="120" w:right="299"/>
        <w:rPr>
          <w:rFonts w:hint="eastAsia" w:ascii="宋体" w:hAnsi="宋体" w:cs="宋体"/>
          <w:b/>
          <w:color w:val="auto"/>
          <w:sz w:val="21"/>
          <w:szCs w:val="21"/>
          <w:highlight w:val="none"/>
        </w:rPr>
      </w:pPr>
      <w:r>
        <w:rPr>
          <w:rFonts w:hint="eastAsia" w:ascii="宋体" w:hAnsi="宋体" w:cs="宋体"/>
          <w:b/>
          <w:color w:val="auto"/>
          <w:w w:val="95"/>
          <w:sz w:val="21"/>
          <w:szCs w:val="21"/>
          <w:highlight w:val="none"/>
        </w:rPr>
        <w:t>上述操作完成后，如果系统中某些功能仍不能使用，请将拦截工具关闭再试用。比如在</w:t>
      </w:r>
      <w:r>
        <w:rPr>
          <w:rFonts w:hint="eastAsia" w:ascii="宋体" w:hAnsi="宋体" w:cs="宋体"/>
          <w:b/>
          <w:color w:val="auto"/>
          <w:sz w:val="21"/>
          <w:szCs w:val="21"/>
          <w:highlight w:val="none"/>
        </w:rPr>
        <w:t>windows 工具栏中关闭弹出窗口阻止程序的操作，如下图：</w:t>
      </w:r>
    </w:p>
    <w:p w14:paraId="1273C210">
      <w:pPr>
        <w:pStyle w:val="7"/>
        <w:ind w:left="60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095875" cy="2324100"/>
            <wp:effectExtent l="0" t="0" r="9525" b="0"/>
            <wp:docPr id="6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3"/>
                    <pic:cNvPicPr>
                      <a:picLocks noChangeAspect="1"/>
                    </pic:cNvPicPr>
                  </pic:nvPicPr>
                  <pic:blipFill>
                    <a:blip r:embed="rId35"/>
                    <a:stretch>
                      <a:fillRect/>
                    </a:stretch>
                  </pic:blipFill>
                  <pic:spPr>
                    <a:xfrm>
                      <a:off x="0" y="0"/>
                      <a:ext cx="5095875" cy="2324100"/>
                    </a:xfrm>
                    <a:prstGeom prst="rect">
                      <a:avLst/>
                    </a:prstGeom>
                    <a:noFill/>
                    <a:ln>
                      <a:noFill/>
                    </a:ln>
                  </pic:spPr>
                </pic:pic>
              </a:graphicData>
            </a:graphic>
          </wp:inline>
        </w:drawing>
      </w:r>
    </w:p>
    <w:p w14:paraId="2BD5EBC5">
      <w:pPr>
        <w:pStyle w:val="7"/>
        <w:spacing w:before="8"/>
        <w:rPr>
          <w:rFonts w:hint="eastAsia" w:ascii="宋体" w:hAnsi="宋体" w:cs="宋体"/>
          <w:b/>
          <w:color w:val="auto"/>
          <w:sz w:val="17"/>
          <w:highlight w:val="none"/>
        </w:rPr>
      </w:pPr>
    </w:p>
    <w:p w14:paraId="28F26FF1">
      <w:pPr>
        <w:rPr>
          <w:rFonts w:hint="eastAsia" w:ascii="宋体" w:hAnsi="宋体" w:cs="宋体"/>
          <w:b/>
          <w:color w:val="auto"/>
          <w:sz w:val="30"/>
          <w:szCs w:val="30"/>
          <w:highlight w:val="none"/>
        </w:rPr>
      </w:pPr>
      <w:r>
        <w:rPr>
          <w:rFonts w:hint="eastAsia" w:ascii="宋体" w:hAnsi="宋体" w:cs="宋体"/>
          <w:b/>
          <w:color w:val="auto"/>
          <w:sz w:val="30"/>
          <w:szCs w:val="30"/>
          <w:highlight w:val="none"/>
        </w:rPr>
        <w:t>二、 投标人网上交易平台</w:t>
      </w:r>
    </w:p>
    <w:p w14:paraId="326AB8E9">
      <w:pPr>
        <w:pStyle w:val="7"/>
        <w:spacing w:line="240" w:lineRule="auto"/>
        <w:ind w:left="120" w:right="299" w:firstLine="420"/>
        <w:rPr>
          <w:rFonts w:hint="eastAsia" w:ascii="宋体" w:hAnsi="宋体" w:cs="宋体"/>
          <w:b/>
          <w:color w:val="auto"/>
          <w:highlight w:val="none"/>
        </w:rPr>
        <w:sectPr>
          <w:pgSz w:w="11910" w:h="16840"/>
          <w:pgMar w:top="1380" w:right="1500" w:bottom="1140" w:left="1680" w:header="595" w:footer="948" w:gutter="0"/>
          <w:cols w:space="720" w:num="1"/>
        </w:sectPr>
      </w:pPr>
      <w:r>
        <w:rPr>
          <w:rFonts w:hint="eastAsia" w:ascii="宋体" w:hAnsi="宋体" w:cs="宋体"/>
          <w:b/>
          <w:color w:val="auto"/>
          <w:spacing w:val="-5"/>
          <w:w w:val="95"/>
          <w:highlight w:val="none"/>
        </w:rPr>
        <w:t xml:space="preserve">本系统主要提供给各类投标人使用，实现投标人注册、诚信库管理、投标人网上交易业  </w:t>
      </w:r>
      <w:r>
        <w:rPr>
          <w:rFonts w:hint="eastAsia" w:ascii="宋体" w:hAnsi="宋体" w:cs="宋体"/>
          <w:b/>
          <w:color w:val="auto"/>
          <w:spacing w:val="-5"/>
          <w:highlight w:val="none"/>
        </w:rPr>
        <w:t>务处理、业务查询等功能。</w:t>
      </w:r>
    </w:p>
    <w:p w14:paraId="0423B7CC">
      <w:pPr>
        <w:spacing w:before="52"/>
        <w:rPr>
          <w:rFonts w:hint="eastAsia" w:ascii="宋体" w:hAnsi="宋体" w:cs="宋体"/>
          <w:b/>
          <w:color w:val="auto"/>
          <w:sz w:val="30"/>
          <w:szCs w:val="30"/>
          <w:highlight w:val="none"/>
        </w:rPr>
      </w:pPr>
      <w:r>
        <w:rPr>
          <w:rFonts w:hint="eastAsia" w:ascii="宋体" w:hAnsi="宋体" w:cs="宋体"/>
          <w:b/>
          <w:color w:val="auto"/>
          <w:sz w:val="30"/>
          <w:szCs w:val="30"/>
          <w:highlight w:val="none"/>
        </w:rPr>
        <w:t>三、 投标人管理</w:t>
      </w:r>
    </w:p>
    <w:p w14:paraId="5A79FC64">
      <w:pPr>
        <w:numPr>
          <w:ilvl w:val="1"/>
          <w:numId w:val="3"/>
        </w:numPr>
        <w:tabs>
          <w:tab w:val="left" w:pos="574"/>
        </w:tabs>
        <w:autoSpaceDE w:val="0"/>
        <w:autoSpaceDN w:val="0"/>
        <w:spacing w:before="120" w:after="120"/>
        <w:ind w:firstLine="438"/>
        <w:rPr>
          <w:rFonts w:hint="eastAsia" w:ascii="宋体" w:hAnsi="宋体" w:cs="宋体"/>
          <w:b/>
          <w:color w:val="auto"/>
          <w:highlight w:val="none"/>
        </w:rPr>
      </w:pPr>
      <w:r>
        <w:rPr>
          <w:rFonts w:hint="eastAsia" w:ascii="宋体" w:hAnsi="宋体" w:cs="宋体"/>
          <w:b/>
          <w:color w:val="auto"/>
          <w:spacing w:val="-11"/>
          <w:highlight w:val="none"/>
        </w:rPr>
        <w:t>、 投标人注册</w:t>
      </w:r>
    </w:p>
    <w:p w14:paraId="6704035B">
      <w:pPr>
        <w:pStyle w:val="7"/>
        <w:spacing w:before="6"/>
        <w:rPr>
          <w:rFonts w:hint="eastAsia" w:ascii="宋体" w:hAnsi="宋体" w:cs="宋体"/>
          <w:b/>
          <w:color w:val="auto"/>
          <w:sz w:val="32"/>
          <w:highlight w:val="none"/>
        </w:rPr>
      </w:pPr>
    </w:p>
    <w:p w14:paraId="5ECADA6A">
      <w:pPr>
        <w:pStyle w:val="7"/>
        <w:ind w:left="540"/>
        <w:rPr>
          <w:rFonts w:hint="eastAsia" w:ascii="宋体" w:hAnsi="宋体" w:cs="宋体"/>
          <w:b/>
          <w:color w:val="auto"/>
          <w:highlight w:val="none"/>
        </w:rPr>
      </w:pPr>
      <w:r>
        <w:rPr>
          <w:rFonts w:hint="eastAsia" w:ascii="宋体" w:hAnsi="宋体" w:cs="宋体"/>
          <w:b/>
          <w:color w:val="auto"/>
          <w:spacing w:val="1"/>
          <w:w w:val="99"/>
          <w:highlight w:val="none"/>
        </w:rPr>
        <w:t>1</w:t>
      </w:r>
      <w:r>
        <w:rPr>
          <w:rFonts w:hint="eastAsia" w:ascii="宋体" w:hAnsi="宋体" w:cs="宋体"/>
          <w:b/>
          <w:color w:val="auto"/>
          <w:spacing w:val="-7"/>
          <w:w w:val="99"/>
          <w:highlight w:val="none"/>
        </w:rPr>
        <w:t>、投标人员登录交易平台，点击“免费注册”，如下图：</w:t>
      </w:r>
    </w:p>
    <w:p w14:paraId="3F9F9A1D">
      <w:pPr>
        <w:pStyle w:val="7"/>
        <w:spacing w:before="9"/>
        <w:rPr>
          <w:rFonts w:hint="eastAsia" w:ascii="宋体" w:hAnsi="宋体" w:cs="宋体"/>
          <w:b/>
          <w:color w:val="auto"/>
          <w:sz w:val="23"/>
          <w:highlight w:val="none"/>
        </w:rPr>
      </w:pPr>
      <w:r>
        <w:rPr>
          <w:rFonts w:hint="eastAsia" w:ascii="宋体" w:hAnsi="宋体" w:cs="宋体"/>
          <w:b/>
          <w:color w:val="auto"/>
          <w:highlight w:val="none"/>
        </w:rPr>
        <w:drawing>
          <wp:inline distT="0" distB="0" distL="114300" distR="114300">
            <wp:extent cx="5313680" cy="2342515"/>
            <wp:effectExtent l="0" t="0" r="1270" b="635"/>
            <wp:docPr id="6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4"/>
                    <pic:cNvPicPr>
                      <a:picLocks noChangeAspect="1"/>
                    </pic:cNvPicPr>
                  </pic:nvPicPr>
                  <pic:blipFill>
                    <a:blip r:embed="rId36"/>
                    <a:stretch>
                      <a:fillRect/>
                    </a:stretch>
                  </pic:blipFill>
                  <pic:spPr>
                    <a:xfrm>
                      <a:off x="0" y="0"/>
                      <a:ext cx="5313680" cy="2342515"/>
                    </a:xfrm>
                    <a:prstGeom prst="rect">
                      <a:avLst/>
                    </a:prstGeom>
                    <a:noFill/>
                    <a:ln>
                      <a:noFill/>
                    </a:ln>
                  </pic:spPr>
                </pic:pic>
              </a:graphicData>
            </a:graphic>
          </wp:inline>
        </w:drawing>
      </w:r>
    </w:p>
    <w:p w14:paraId="481E8665">
      <w:pPr>
        <w:pStyle w:val="7"/>
        <w:spacing w:before="1"/>
        <w:rPr>
          <w:rFonts w:hint="eastAsia" w:ascii="宋体" w:hAnsi="宋体" w:cs="宋体"/>
          <w:b/>
          <w:color w:val="auto"/>
          <w:sz w:val="15"/>
          <w:highlight w:val="none"/>
        </w:rPr>
      </w:pPr>
    </w:p>
    <w:p w14:paraId="07689A2E">
      <w:pPr>
        <w:pStyle w:val="7"/>
        <w:ind w:left="540"/>
        <w:rPr>
          <w:rFonts w:hint="eastAsia" w:ascii="宋体" w:hAnsi="宋体" w:cs="宋体"/>
          <w:b/>
          <w:color w:val="auto"/>
          <w:highlight w:val="none"/>
        </w:rPr>
      </w:pPr>
      <w:r>
        <w:rPr>
          <w:rFonts w:hint="eastAsia" w:ascii="宋体" w:hAnsi="宋体" w:cs="宋体"/>
          <w:b/>
          <w:color w:val="auto"/>
          <w:highlight w:val="none"/>
        </w:rPr>
        <w:t>2、点击“我已阅读并同意该协议”按钮，确认注册协议，如下图：</w:t>
      </w:r>
    </w:p>
    <w:p w14:paraId="24E21D95">
      <w:pPr>
        <w:pStyle w:val="7"/>
        <w:spacing w:before="1"/>
        <w:rPr>
          <w:rFonts w:hint="eastAsia" w:ascii="宋体" w:hAnsi="宋体" w:cs="宋体"/>
          <w:b/>
          <w:color w:val="auto"/>
          <w:sz w:val="16"/>
          <w:highlight w:val="none"/>
        </w:rPr>
      </w:pPr>
      <w:r>
        <w:rPr>
          <w:rFonts w:hint="eastAsia" w:ascii="宋体" w:hAnsi="宋体" w:cs="宋体"/>
          <w:b/>
          <w:color w:val="auto"/>
          <w:highlight w:val="none"/>
        </w:rPr>
        <w:drawing>
          <wp:inline distT="0" distB="0" distL="114300" distR="114300">
            <wp:extent cx="5313680" cy="2405380"/>
            <wp:effectExtent l="0" t="0" r="1270" b="13970"/>
            <wp:docPr id="6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5"/>
                    <pic:cNvPicPr>
                      <a:picLocks noChangeAspect="1"/>
                    </pic:cNvPicPr>
                  </pic:nvPicPr>
                  <pic:blipFill>
                    <a:blip r:embed="rId37"/>
                    <a:stretch>
                      <a:fillRect/>
                    </a:stretch>
                  </pic:blipFill>
                  <pic:spPr>
                    <a:xfrm>
                      <a:off x="0" y="0"/>
                      <a:ext cx="5313680" cy="2405380"/>
                    </a:xfrm>
                    <a:prstGeom prst="rect">
                      <a:avLst/>
                    </a:prstGeom>
                    <a:noFill/>
                    <a:ln>
                      <a:noFill/>
                    </a:ln>
                  </pic:spPr>
                </pic:pic>
              </a:graphicData>
            </a:graphic>
          </wp:inline>
        </w:drawing>
      </w:r>
    </w:p>
    <w:p w14:paraId="768972FF">
      <w:pPr>
        <w:pStyle w:val="7"/>
        <w:rPr>
          <w:rFonts w:hint="eastAsia" w:ascii="宋体" w:hAnsi="宋体" w:cs="宋体"/>
          <w:b/>
          <w:color w:val="auto"/>
          <w:sz w:val="15"/>
          <w:highlight w:val="none"/>
        </w:rPr>
      </w:pPr>
    </w:p>
    <w:p w14:paraId="0296F8F6">
      <w:pPr>
        <w:pStyle w:val="7"/>
        <w:ind w:left="540"/>
        <w:rPr>
          <w:rFonts w:hint="eastAsia" w:ascii="宋体" w:hAnsi="宋体" w:cs="宋体"/>
          <w:b/>
          <w:color w:val="auto"/>
          <w:highlight w:val="none"/>
        </w:rPr>
      </w:pPr>
      <w:r>
        <w:rPr>
          <w:rFonts w:hint="eastAsia" w:ascii="宋体" w:hAnsi="宋体" w:cs="宋体"/>
          <w:b/>
          <w:color w:val="auto"/>
          <w:highlight w:val="none"/>
        </w:rPr>
        <w:t>3、填写网员信息，点击“立即注册”按钮，提示注册成功。</w:t>
      </w:r>
    </w:p>
    <w:p w14:paraId="4A0EE130">
      <w:pPr>
        <w:rPr>
          <w:rFonts w:hint="eastAsia" w:ascii="宋体" w:hAnsi="宋体" w:cs="宋体"/>
          <w:b/>
          <w:color w:val="auto"/>
          <w:highlight w:val="none"/>
        </w:rPr>
        <w:sectPr>
          <w:pgSz w:w="11910" w:h="16840"/>
          <w:pgMar w:top="1380" w:right="1500" w:bottom="1140" w:left="1680" w:header="595" w:footer="948" w:gutter="0"/>
          <w:cols w:space="720" w:num="1"/>
        </w:sectPr>
      </w:pPr>
    </w:p>
    <w:p w14:paraId="4E066737">
      <w:pPr>
        <w:pStyle w:val="7"/>
        <w:spacing w:before="12"/>
        <w:rPr>
          <w:rFonts w:hint="eastAsia" w:ascii="宋体" w:hAnsi="宋体" w:cs="宋体"/>
          <w:b/>
          <w:color w:val="auto"/>
          <w:sz w:val="10"/>
          <w:highlight w:val="none"/>
        </w:rPr>
      </w:pPr>
    </w:p>
    <w:p w14:paraId="44C46750">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82565" cy="3854450"/>
            <wp:effectExtent l="0" t="0" r="13335" b="12700"/>
            <wp:docPr id="6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6"/>
                    <pic:cNvPicPr>
                      <a:picLocks noChangeAspect="1"/>
                    </pic:cNvPicPr>
                  </pic:nvPicPr>
                  <pic:blipFill>
                    <a:blip r:embed="rId38"/>
                    <a:stretch>
                      <a:fillRect/>
                    </a:stretch>
                  </pic:blipFill>
                  <pic:spPr>
                    <a:xfrm>
                      <a:off x="0" y="0"/>
                      <a:ext cx="5282565" cy="3854450"/>
                    </a:xfrm>
                    <a:prstGeom prst="rect">
                      <a:avLst/>
                    </a:prstGeom>
                    <a:noFill/>
                    <a:ln>
                      <a:noFill/>
                    </a:ln>
                  </pic:spPr>
                </pic:pic>
              </a:graphicData>
            </a:graphic>
          </wp:inline>
        </w:drawing>
      </w:r>
    </w:p>
    <w:p w14:paraId="3E31C34F">
      <w:pPr>
        <w:pStyle w:val="7"/>
        <w:spacing w:before="4"/>
        <w:rPr>
          <w:rFonts w:hint="eastAsia" w:ascii="宋体" w:hAnsi="宋体" w:cs="宋体"/>
          <w:b/>
          <w:color w:val="auto"/>
          <w:sz w:val="13"/>
          <w:highlight w:val="none"/>
        </w:rPr>
      </w:pPr>
      <w:r>
        <w:rPr>
          <w:rFonts w:hint="eastAsia" w:ascii="宋体" w:hAnsi="宋体" w:cs="宋体"/>
          <w:b/>
          <w:color w:val="auto"/>
          <w:highlight w:val="none"/>
        </w:rPr>
        <w:drawing>
          <wp:anchor distT="0" distB="0" distL="114300" distR="114300" simplePos="0" relativeHeight="251664384" behindDoc="0" locked="0" layoutInCell="1" allowOverlap="1">
            <wp:simplePos x="0" y="0"/>
            <wp:positionH relativeFrom="page">
              <wp:posOffset>1143000</wp:posOffset>
            </wp:positionH>
            <wp:positionV relativeFrom="paragraph">
              <wp:posOffset>133350</wp:posOffset>
            </wp:positionV>
            <wp:extent cx="5253355" cy="2038350"/>
            <wp:effectExtent l="0" t="0" r="4445" b="0"/>
            <wp:wrapTopAndBottom/>
            <wp:docPr id="70"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8.jpeg"/>
                    <pic:cNvPicPr>
                      <a:picLocks noChangeAspect="1"/>
                    </pic:cNvPicPr>
                  </pic:nvPicPr>
                  <pic:blipFill>
                    <a:blip r:embed="rId39"/>
                    <a:stretch>
                      <a:fillRect/>
                    </a:stretch>
                  </pic:blipFill>
                  <pic:spPr>
                    <a:xfrm>
                      <a:off x="0" y="0"/>
                      <a:ext cx="5253355" cy="2038350"/>
                    </a:xfrm>
                    <a:prstGeom prst="rect">
                      <a:avLst/>
                    </a:prstGeom>
                    <a:noFill/>
                    <a:ln>
                      <a:noFill/>
                    </a:ln>
                  </pic:spPr>
                </pic:pic>
              </a:graphicData>
            </a:graphic>
          </wp:anchor>
        </w:drawing>
      </w:r>
    </w:p>
    <w:p w14:paraId="4AE384AE">
      <w:pPr>
        <w:pStyle w:val="7"/>
        <w:rPr>
          <w:rFonts w:hint="eastAsia" w:ascii="宋体" w:hAnsi="宋体" w:cs="宋体"/>
          <w:b/>
          <w:color w:val="auto"/>
          <w:sz w:val="20"/>
          <w:highlight w:val="none"/>
        </w:rPr>
      </w:pPr>
    </w:p>
    <w:p w14:paraId="4F31177F">
      <w:pPr>
        <w:pStyle w:val="7"/>
        <w:rPr>
          <w:rFonts w:hint="eastAsia" w:ascii="宋体" w:hAnsi="宋体" w:cs="宋体"/>
          <w:b/>
          <w:color w:val="auto"/>
          <w:sz w:val="20"/>
          <w:highlight w:val="none"/>
        </w:rPr>
      </w:pPr>
    </w:p>
    <w:p w14:paraId="7A837EFA">
      <w:pPr>
        <w:pStyle w:val="7"/>
        <w:spacing w:before="11"/>
        <w:rPr>
          <w:rFonts w:hint="eastAsia" w:ascii="宋体" w:hAnsi="宋体" w:cs="宋体"/>
          <w:b/>
          <w:color w:val="auto"/>
          <w:sz w:val="22"/>
          <w:highlight w:val="none"/>
        </w:rPr>
      </w:pPr>
    </w:p>
    <w:p w14:paraId="7B139358">
      <w:pPr>
        <w:numPr>
          <w:ilvl w:val="1"/>
          <w:numId w:val="3"/>
        </w:numPr>
        <w:tabs>
          <w:tab w:val="left" w:pos="574"/>
        </w:tabs>
        <w:autoSpaceDE w:val="0"/>
        <w:autoSpaceDN w:val="0"/>
        <w:spacing w:before="120" w:after="120"/>
        <w:ind w:firstLine="438"/>
        <w:rPr>
          <w:rFonts w:hint="eastAsia" w:ascii="宋体" w:hAnsi="宋体" w:cs="宋体"/>
          <w:b/>
          <w:color w:val="auto"/>
          <w:highlight w:val="none"/>
        </w:rPr>
      </w:pPr>
      <w:r>
        <w:rPr>
          <w:rFonts w:hint="eastAsia" w:ascii="宋体" w:hAnsi="宋体" w:cs="宋体"/>
          <w:b/>
          <w:color w:val="auto"/>
          <w:spacing w:val="-11"/>
          <w:highlight w:val="none"/>
        </w:rPr>
        <w:t>、 诚信库管理</w:t>
      </w:r>
    </w:p>
    <w:p w14:paraId="63629834">
      <w:pPr>
        <w:pStyle w:val="7"/>
        <w:spacing w:before="4"/>
        <w:rPr>
          <w:rFonts w:hint="eastAsia" w:ascii="宋体" w:hAnsi="宋体" w:cs="宋体"/>
          <w:b/>
          <w:color w:val="auto"/>
          <w:sz w:val="26"/>
          <w:highlight w:val="none"/>
        </w:rPr>
      </w:pPr>
    </w:p>
    <w:p w14:paraId="5807FA6D">
      <w:pPr>
        <w:spacing w:line="278" w:lineRule="auto"/>
        <w:ind w:left="542" w:right="621"/>
        <w:rPr>
          <w:rFonts w:hint="eastAsia" w:ascii="宋体" w:hAnsi="宋体" w:cs="宋体"/>
          <w:b/>
          <w:color w:val="auto"/>
          <w:w w:val="95"/>
          <w:szCs w:val="21"/>
          <w:highlight w:val="none"/>
        </w:rPr>
      </w:pPr>
      <w:r>
        <w:rPr>
          <w:rFonts w:hint="eastAsia" w:ascii="宋体" w:hAnsi="宋体" w:cs="宋体"/>
          <w:b/>
          <w:color w:val="auto"/>
          <w:w w:val="95"/>
          <w:szCs w:val="21"/>
          <w:highlight w:val="none"/>
        </w:rPr>
        <w:t xml:space="preserve">功能说明：投标人登录后可以进行本单位基本信息的维护，录入、修改基本信息。  </w:t>
      </w:r>
    </w:p>
    <w:p w14:paraId="36C7D984">
      <w:pPr>
        <w:spacing w:line="278" w:lineRule="auto"/>
        <w:ind w:left="542" w:right="621"/>
        <w:rPr>
          <w:rFonts w:hint="eastAsia" w:ascii="宋体" w:hAnsi="宋体" w:cs="宋体"/>
          <w:b/>
          <w:color w:val="auto"/>
          <w:szCs w:val="21"/>
          <w:highlight w:val="none"/>
        </w:rPr>
      </w:pPr>
      <w:r>
        <w:rPr>
          <w:rFonts w:hint="eastAsia" w:ascii="宋体" w:hAnsi="宋体" w:cs="宋体"/>
          <w:b/>
          <w:color w:val="auto"/>
          <w:szCs w:val="21"/>
          <w:highlight w:val="none"/>
        </w:rPr>
        <w:t>操作步骤：</w:t>
      </w:r>
    </w:p>
    <w:p w14:paraId="0208F1DB">
      <w:pPr>
        <w:pStyle w:val="7"/>
        <w:spacing w:before="76" w:line="417" w:lineRule="auto"/>
        <w:ind w:left="120" w:right="309" w:firstLine="420"/>
        <w:rPr>
          <w:rFonts w:hint="eastAsia" w:ascii="宋体" w:hAnsi="宋体" w:cs="宋体"/>
          <w:b/>
          <w:color w:val="auto"/>
          <w:highlight w:val="none"/>
        </w:rPr>
      </w:pPr>
      <w:r>
        <w:rPr>
          <w:rFonts w:hint="eastAsia" w:ascii="宋体" w:hAnsi="宋体" w:cs="宋体"/>
          <w:b/>
          <w:color w:val="auto"/>
          <w:w w:val="95"/>
          <w:sz w:val="21"/>
          <w:szCs w:val="21"/>
          <w:highlight w:val="none"/>
        </w:rPr>
        <w:t xml:space="preserve">1、点击基本信息菜单中的“修改信息”按钮，填写信息并提交审核，对诚信库信息进  </w:t>
      </w:r>
      <w:r>
        <w:rPr>
          <w:rFonts w:hint="eastAsia" w:ascii="宋体" w:hAnsi="宋体" w:cs="宋体"/>
          <w:b/>
          <w:color w:val="auto"/>
          <w:sz w:val="21"/>
          <w:szCs w:val="21"/>
          <w:highlight w:val="none"/>
        </w:rPr>
        <w:t>行维护，如下图：</w:t>
      </w:r>
    </w:p>
    <w:p w14:paraId="6CB11E98">
      <w:pPr>
        <w:spacing w:line="417" w:lineRule="auto"/>
        <w:rPr>
          <w:rFonts w:hint="eastAsia" w:ascii="宋体" w:hAnsi="宋体" w:cs="宋体"/>
          <w:b/>
          <w:color w:val="auto"/>
          <w:highlight w:val="none"/>
        </w:rPr>
        <w:sectPr>
          <w:pgSz w:w="11910" w:h="16840"/>
          <w:pgMar w:top="1380" w:right="1500" w:bottom="1140" w:left="1680" w:header="595" w:footer="948" w:gutter="0"/>
          <w:cols w:space="720" w:num="1"/>
        </w:sectPr>
      </w:pPr>
    </w:p>
    <w:p w14:paraId="3DB59358">
      <w:pPr>
        <w:pStyle w:val="7"/>
        <w:spacing w:before="7"/>
        <w:rPr>
          <w:rFonts w:hint="eastAsia" w:ascii="宋体" w:hAnsi="宋体" w:cs="宋体"/>
          <w:b/>
          <w:color w:val="auto"/>
          <w:sz w:val="8"/>
          <w:highlight w:val="none"/>
        </w:rPr>
      </w:pPr>
    </w:p>
    <w:p w14:paraId="022043B7">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095240" cy="2032635"/>
            <wp:effectExtent l="0" t="0" r="10160" b="5715"/>
            <wp:docPr id="7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7"/>
                    <pic:cNvPicPr>
                      <a:picLocks noChangeAspect="1"/>
                    </pic:cNvPicPr>
                  </pic:nvPicPr>
                  <pic:blipFill>
                    <a:blip r:embed="rId40"/>
                    <a:stretch>
                      <a:fillRect/>
                    </a:stretch>
                  </pic:blipFill>
                  <pic:spPr>
                    <a:xfrm>
                      <a:off x="0" y="0"/>
                      <a:ext cx="5095240" cy="2032635"/>
                    </a:xfrm>
                    <a:prstGeom prst="rect">
                      <a:avLst/>
                    </a:prstGeom>
                    <a:noFill/>
                    <a:ln>
                      <a:noFill/>
                    </a:ln>
                  </pic:spPr>
                </pic:pic>
              </a:graphicData>
            </a:graphic>
          </wp:inline>
        </w:drawing>
      </w:r>
    </w:p>
    <w:p w14:paraId="745D08A6">
      <w:pPr>
        <w:pStyle w:val="7"/>
        <w:spacing w:before="1"/>
        <w:rPr>
          <w:rFonts w:hint="eastAsia" w:ascii="宋体" w:hAnsi="宋体" w:cs="宋体"/>
          <w:b/>
          <w:color w:val="auto"/>
          <w:sz w:val="11"/>
          <w:highlight w:val="none"/>
        </w:rPr>
      </w:pPr>
    </w:p>
    <w:p w14:paraId="5190F294">
      <w:pPr>
        <w:pStyle w:val="7"/>
        <w:spacing w:before="70"/>
        <w:ind w:left="540"/>
        <w:rPr>
          <w:rFonts w:hint="eastAsia" w:ascii="宋体" w:hAnsi="宋体" w:cs="宋体"/>
          <w:b/>
          <w:color w:val="auto"/>
          <w:highlight w:val="none"/>
        </w:rPr>
      </w:pPr>
      <w:r>
        <w:rPr>
          <w:rFonts w:hint="eastAsia" w:ascii="宋体" w:hAnsi="宋体" w:cs="宋体"/>
          <w:b/>
          <w:color w:val="auto"/>
          <w:highlight w:val="none"/>
        </w:rPr>
        <w:t>注：此处对于诚信库信息维护不加详细介绍。</w:t>
      </w:r>
    </w:p>
    <w:p w14:paraId="77701A90">
      <w:pPr>
        <w:pStyle w:val="7"/>
        <w:spacing w:before="5"/>
        <w:rPr>
          <w:rFonts w:hint="eastAsia" w:ascii="宋体" w:hAnsi="宋体" w:cs="宋体"/>
          <w:b/>
          <w:color w:val="auto"/>
          <w:sz w:val="17"/>
          <w:highlight w:val="none"/>
        </w:rPr>
      </w:pPr>
    </w:p>
    <w:p w14:paraId="5680CF9C">
      <w:pPr>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四、 业务管理</w:t>
      </w:r>
    </w:p>
    <w:p w14:paraId="2E83DF57">
      <w:pPr>
        <w:numPr>
          <w:ilvl w:val="1"/>
          <w:numId w:val="4"/>
        </w:numPr>
        <w:tabs>
          <w:tab w:val="left" w:pos="284"/>
          <w:tab w:val="left" w:pos="426"/>
        </w:tabs>
        <w:autoSpaceDE w:val="0"/>
        <w:autoSpaceDN w:val="0"/>
        <w:spacing w:before="120" w:after="120"/>
        <w:ind w:hanging="147"/>
        <w:rPr>
          <w:rFonts w:hint="eastAsia" w:ascii="宋体" w:hAnsi="宋体" w:cs="宋体"/>
          <w:b/>
          <w:color w:val="auto"/>
          <w:sz w:val="28"/>
          <w:szCs w:val="28"/>
          <w:highlight w:val="none"/>
        </w:rPr>
      </w:pPr>
      <w:r>
        <w:rPr>
          <w:rFonts w:hint="eastAsia" w:ascii="宋体" w:hAnsi="宋体" w:cs="宋体"/>
          <w:b/>
          <w:color w:val="auto"/>
          <w:spacing w:val="-12"/>
          <w:sz w:val="28"/>
          <w:szCs w:val="28"/>
          <w:highlight w:val="none"/>
        </w:rPr>
        <w:t>、 交易公告</w:t>
      </w:r>
    </w:p>
    <w:p w14:paraId="797906B1">
      <w:pPr>
        <w:numPr>
          <w:ilvl w:val="2"/>
          <w:numId w:val="4"/>
        </w:numPr>
        <w:tabs>
          <w:tab w:val="left" w:pos="828"/>
        </w:tabs>
        <w:autoSpaceDE w:val="0"/>
        <w:autoSpaceDN w:val="0"/>
        <w:rPr>
          <w:rFonts w:hint="eastAsia" w:ascii="宋体" w:hAnsi="宋体" w:cs="宋体"/>
          <w:b/>
          <w:color w:val="auto"/>
          <w:highlight w:val="none"/>
        </w:rPr>
      </w:pPr>
      <w:r>
        <w:rPr>
          <w:rFonts w:hint="eastAsia" w:ascii="宋体" w:hAnsi="宋体" w:cs="宋体"/>
          <w:b/>
          <w:color w:val="auto"/>
          <w:spacing w:val="14"/>
          <w:sz w:val="28"/>
          <w:szCs w:val="28"/>
          <w:highlight w:val="none"/>
        </w:rPr>
        <w:t>、 查看公告详情</w:t>
      </w:r>
    </w:p>
    <w:p w14:paraId="73E83B96">
      <w:pPr>
        <w:pStyle w:val="7"/>
        <w:spacing w:before="3"/>
        <w:rPr>
          <w:rFonts w:hint="eastAsia" w:ascii="宋体" w:hAnsi="宋体" w:cs="宋体"/>
          <w:b/>
          <w:color w:val="auto"/>
          <w:sz w:val="31"/>
          <w:highlight w:val="none"/>
        </w:rPr>
      </w:pPr>
    </w:p>
    <w:p w14:paraId="46CEE231">
      <w:pPr>
        <w:pStyle w:val="7"/>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1、点击“发包公告”菜单，进入招标公告列表，如下图：</w:t>
      </w:r>
    </w:p>
    <w:p w14:paraId="6369B801">
      <w:pPr>
        <w:pStyle w:val="7"/>
        <w:rPr>
          <w:rFonts w:hint="eastAsia" w:ascii="宋体" w:hAnsi="宋体" w:cs="宋体"/>
          <w:b/>
          <w:color w:val="auto"/>
          <w:sz w:val="21"/>
          <w:szCs w:val="21"/>
          <w:highlight w:val="none"/>
        </w:rPr>
      </w:pPr>
      <w:r>
        <w:rPr>
          <w:rFonts w:hint="eastAsia" w:ascii="宋体" w:hAnsi="宋体" w:cs="宋体"/>
          <w:b/>
          <w:color w:val="auto"/>
          <w:sz w:val="21"/>
          <w:szCs w:val="21"/>
          <w:highlight w:val="none"/>
        </w:rPr>
        <w:drawing>
          <wp:inline distT="0" distB="0" distL="114300" distR="114300">
            <wp:extent cx="5194300" cy="2351405"/>
            <wp:effectExtent l="0" t="0" r="6350" b="10795"/>
            <wp:docPr id="7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8"/>
                    <pic:cNvPicPr>
                      <a:picLocks noChangeAspect="1"/>
                    </pic:cNvPicPr>
                  </pic:nvPicPr>
                  <pic:blipFill>
                    <a:blip r:embed="rId41"/>
                    <a:stretch>
                      <a:fillRect/>
                    </a:stretch>
                  </pic:blipFill>
                  <pic:spPr>
                    <a:xfrm>
                      <a:off x="0" y="0"/>
                      <a:ext cx="5194300" cy="2351405"/>
                    </a:xfrm>
                    <a:prstGeom prst="rect">
                      <a:avLst/>
                    </a:prstGeom>
                    <a:noFill/>
                    <a:ln>
                      <a:noFill/>
                    </a:ln>
                  </pic:spPr>
                </pic:pic>
              </a:graphicData>
            </a:graphic>
          </wp:inline>
        </w:drawing>
      </w:r>
    </w:p>
    <w:p w14:paraId="3259336C">
      <w:pPr>
        <w:pStyle w:val="7"/>
        <w:spacing w:line="417" w:lineRule="auto"/>
        <w:ind w:left="120" w:right="194" w:firstLine="420"/>
        <w:rPr>
          <w:rFonts w:hint="eastAsia" w:ascii="宋体" w:hAnsi="宋体" w:cs="宋体"/>
          <w:b/>
          <w:color w:val="auto"/>
          <w:highlight w:val="none"/>
        </w:rPr>
      </w:pPr>
      <w:r>
        <w:rPr>
          <w:rFonts w:hint="eastAsia" w:ascii="宋体" w:hAnsi="宋体" w:cs="宋体"/>
          <w:b/>
          <w:color w:val="auto"/>
          <w:w w:val="95"/>
          <w:sz w:val="21"/>
          <w:szCs w:val="21"/>
          <w:highlight w:val="none"/>
        </w:rPr>
        <w:t>2</w:t>
      </w:r>
      <w:r>
        <w:rPr>
          <w:rFonts w:hint="eastAsia" w:ascii="宋体" w:hAnsi="宋体" w:cs="宋体"/>
          <w:b/>
          <w:color w:val="auto"/>
          <w:spacing w:val="-10"/>
          <w:w w:val="95"/>
          <w:sz w:val="21"/>
          <w:szCs w:val="21"/>
          <w:highlight w:val="none"/>
        </w:rPr>
        <w:t xml:space="preserve">、交易公告列表页面，鼠标放置项目上，点击“公告详情”按钮，进入公告详情页面，  </w:t>
      </w:r>
      <w:r>
        <w:rPr>
          <w:rFonts w:hint="eastAsia" w:ascii="宋体" w:hAnsi="宋体" w:cs="宋体"/>
          <w:b/>
          <w:color w:val="auto"/>
          <w:spacing w:val="-10"/>
          <w:sz w:val="21"/>
          <w:szCs w:val="21"/>
          <w:highlight w:val="none"/>
        </w:rPr>
        <w:t>如下图：</w:t>
      </w:r>
    </w:p>
    <w:p w14:paraId="02FC32C7">
      <w:pPr>
        <w:spacing w:line="417" w:lineRule="auto"/>
        <w:rPr>
          <w:rFonts w:hint="eastAsia" w:ascii="宋体" w:hAnsi="宋体" w:cs="宋体"/>
          <w:b/>
          <w:color w:val="auto"/>
          <w:highlight w:val="none"/>
        </w:rPr>
        <w:sectPr>
          <w:pgSz w:w="11910" w:h="16840"/>
          <w:pgMar w:top="1380" w:right="1500" w:bottom="1140" w:left="1680" w:header="595" w:footer="948" w:gutter="0"/>
          <w:cols w:space="720" w:num="1"/>
        </w:sectPr>
      </w:pPr>
    </w:p>
    <w:p w14:paraId="6D48EDBB">
      <w:pPr>
        <w:pStyle w:val="7"/>
        <w:spacing w:before="1"/>
        <w:rPr>
          <w:rFonts w:hint="eastAsia" w:ascii="宋体" w:hAnsi="宋体" w:cs="宋体"/>
          <w:b/>
          <w:color w:val="auto"/>
          <w:sz w:val="15"/>
          <w:highlight w:val="none"/>
        </w:rPr>
      </w:pPr>
    </w:p>
    <w:p w14:paraId="044D8A8C">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159375" cy="2337435"/>
            <wp:effectExtent l="0" t="0" r="3175" b="5715"/>
            <wp:docPr id="7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9"/>
                    <pic:cNvPicPr>
                      <a:picLocks noChangeAspect="1"/>
                    </pic:cNvPicPr>
                  </pic:nvPicPr>
                  <pic:blipFill>
                    <a:blip r:embed="rId42"/>
                    <a:stretch>
                      <a:fillRect/>
                    </a:stretch>
                  </pic:blipFill>
                  <pic:spPr>
                    <a:xfrm>
                      <a:off x="0" y="0"/>
                      <a:ext cx="5159375" cy="2337435"/>
                    </a:xfrm>
                    <a:prstGeom prst="rect">
                      <a:avLst/>
                    </a:prstGeom>
                    <a:noFill/>
                    <a:ln>
                      <a:noFill/>
                    </a:ln>
                  </pic:spPr>
                </pic:pic>
              </a:graphicData>
            </a:graphic>
          </wp:inline>
        </w:drawing>
      </w:r>
    </w:p>
    <w:p w14:paraId="20F7DBCA">
      <w:pPr>
        <w:pStyle w:val="7"/>
        <w:rPr>
          <w:rFonts w:hint="eastAsia" w:ascii="宋体" w:hAnsi="宋体" w:cs="宋体"/>
          <w:b/>
          <w:color w:val="auto"/>
          <w:sz w:val="20"/>
          <w:highlight w:val="none"/>
        </w:rPr>
      </w:pPr>
    </w:p>
    <w:p w14:paraId="5DBBB730">
      <w:pPr>
        <w:pStyle w:val="7"/>
        <w:spacing w:before="8"/>
        <w:rPr>
          <w:rFonts w:hint="eastAsia" w:ascii="宋体" w:hAnsi="宋体" w:cs="宋体"/>
          <w:b/>
          <w:color w:val="auto"/>
          <w:sz w:val="18"/>
          <w:highlight w:val="none"/>
        </w:rPr>
      </w:pPr>
    </w:p>
    <w:p w14:paraId="498D1846">
      <w:pPr>
        <w:numPr>
          <w:ilvl w:val="2"/>
          <w:numId w:val="4"/>
        </w:numPr>
        <w:tabs>
          <w:tab w:val="left" w:pos="828"/>
        </w:tabs>
        <w:autoSpaceDE w:val="0"/>
        <w:autoSpaceDN w:val="0"/>
        <w:spacing w:before="62"/>
        <w:rPr>
          <w:rFonts w:hint="eastAsia" w:ascii="宋体" w:hAnsi="宋体" w:cs="宋体"/>
          <w:b/>
          <w:color w:val="auto"/>
          <w:highlight w:val="none"/>
        </w:rPr>
      </w:pPr>
      <w:r>
        <w:rPr>
          <w:rFonts w:hint="eastAsia" w:ascii="宋体" w:hAnsi="宋体" w:cs="宋体"/>
          <w:b/>
          <w:color w:val="auto"/>
          <w:spacing w:val="14"/>
          <w:highlight w:val="none"/>
        </w:rPr>
        <w:t>、 交易文件下载</w:t>
      </w:r>
    </w:p>
    <w:p w14:paraId="0F34683B">
      <w:pPr>
        <w:pStyle w:val="7"/>
        <w:spacing w:before="2"/>
        <w:rPr>
          <w:rFonts w:hint="eastAsia" w:ascii="宋体" w:hAnsi="宋体" w:cs="宋体"/>
          <w:b/>
          <w:color w:val="auto"/>
          <w:sz w:val="25"/>
          <w:highlight w:val="none"/>
        </w:rPr>
      </w:pPr>
    </w:p>
    <w:p w14:paraId="66FB4AAA">
      <w:pPr>
        <w:pStyle w:val="7"/>
        <w:spacing w:before="1" w:line="278" w:lineRule="auto"/>
        <w:ind w:left="120" w:right="194" w:firstLine="420"/>
        <w:rPr>
          <w:rFonts w:hint="eastAsia" w:ascii="宋体" w:hAnsi="宋体" w:cs="宋体"/>
          <w:b/>
          <w:color w:val="auto"/>
          <w:sz w:val="21"/>
          <w:szCs w:val="21"/>
          <w:highlight w:val="none"/>
        </w:rPr>
      </w:pPr>
      <w:r>
        <w:rPr>
          <w:rFonts w:hint="eastAsia" w:ascii="宋体" w:hAnsi="宋体" w:cs="宋体"/>
          <w:b/>
          <w:color w:val="auto"/>
          <w:w w:val="95"/>
          <w:sz w:val="21"/>
          <w:szCs w:val="21"/>
          <w:highlight w:val="none"/>
        </w:rPr>
        <w:t>1</w:t>
      </w:r>
      <w:r>
        <w:rPr>
          <w:rFonts w:hint="eastAsia" w:ascii="宋体" w:hAnsi="宋体" w:cs="宋体"/>
          <w:b/>
          <w:color w:val="auto"/>
          <w:spacing w:val="-6"/>
          <w:w w:val="95"/>
          <w:sz w:val="21"/>
          <w:szCs w:val="21"/>
          <w:highlight w:val="none"/>
        </w:rPr>
        <w:t xml:space="preserve">、交易公告列表页面，鼠标放置项目上，点击“进入项目”按钮，进入项目详情页面，  </w:t>
      </w:r>
      <w:r>
        <w:rPr>
          <w:rFonts w:hint="eastAsia" w:ascii="宋体" w:hAnsi="宋体" w:cs="宋体"/>
          <w:b/>
          <w:color w:val="auto"/>
          <w:spacing w:val="-6"/>
          <w:sz w:val="21"/>
          <w:szCs w:val="21"/>
          <w:highlight w:val="none"/>
        </w:rPr>
        <w:t>如下图：</w:t>
      </w:r>
      <w:r>
        <w:rPr>
          <w:rFonts w:hint="eastAsia" w:ascii="宋体" w:hAnsi="宋体" w:cs="宋体"/>
          <w:b/>
          <w:color w:val="auto"/>
          <w:sz w:val="21"/>
          <w:szCs w:val="21"/>
          <w:highlight w:val="none"/>
        </w:rPr>
        <w:drawing>
          <wp:inline distT="0" distB="0" distL="114300" distR="114300">
            <wp:extent cx="5290185" cy="2394585"/>
            <wp:effectExtent l="0" t="0" r="5715" b="5715"/>
            <wp:docPr id="7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20"/>
                    <pic:cNvPicPr>
                      <a:picLocks noChangeAspect="1"/>
                    </pic:cNvPicPr>
                  </pic:nvPicPr>
                  <pic:blipFill>
                    <a:blip r:embed="rId43"/>
                    <a:stretch>
                      <a:fillRect/>
                    </a:stretch>
                  </pic:blipFill>
                  <pic:spPr>
                    <a:xfrm>
                      <a:off x="0" y="0"/>
                      <a:ext cx="5290185" cy="2394585"/>
                    </a:xfrm>
                    <a:prstGeom prst="rect">
                      <a:avLst/>
                    </a:prstGeom>
                    <a:noFill/>
                    <a:ln>
                      <a:noFill/>
                    </a:ln>
                  </pic:spPr>
                </pic:pic>
              </a:graphicData>
            </a:graphic>
          </wp:inline>
        </w:drawing>
      </w:r>
    </w:p>
    <w:p w14:paraId="65A9F6CF">
      <w:pPr>
        <w:pStyle w:val="7"/>
        <w:spacing w:before="130" w:line="278" w:lineRule="auto"/>
        <w:ind w:left="120" w:right="299" w:firstLine="420"/>
        <w:rPr>
          <w:rFonts w:hint="eastAsia" w:ascii="宋体" w:hAnsi="宋体" w:cs="宋体"/>
          <w:b/>
          <w:color w:val="auto"/>
          <w:highlight w:val="none"/>
        </w:rPr>
      </w:pPr>
      <w:r>
        <w:rPr>
          <w:rFonts w:hint="eastAsia" w:ascii="宋体" w:hAnsi="宋体" w:cs="宋体"/>
          <w:b/>
          <w:color w:val="auto"/>
          <w:w w:val="95"/>
          <w:sz w:val="21"/>
          <w:szCs w:val="21"/>
          <w:highlight w:val="none"/>
        </w:rPr>
        <w:t>2</w:t>
      </w:r>
      <w:r>
        <w:rPr>
          <w:rFonts w:hint="eastAsia" w:ascii="宋体" w:hAnsi="宋体" w:cs="宋体"/>
          <w:b/>
          <w:color w:val="auto"/>
          <w:spacing w:val="-4"/>
          <w:w w:val="95"/>
          <w:sz w:val="21"/>
          <w:szCs w:val="21"/>
          <w:highlight w:val="none"/>
        </w:rPr>
        <w:t>、填写联系人</w:t>
      </w:r>
      <w:r>
        <w:rPr>
          <w:rFonts w:hint="eastAsia" w:ascii="宋体" w:hAnsi="宋体" w:cs="宋体"/>
          <w:b/>
          <w:color w:val="auto"/>
          <w:w w:val="95"/>
          <w:sz w:val="21"/>
          <w:szCs w:val="21"/>
          <w:highlight w:val="none"/>
        </w:rPr>
        <w:t>/</w:t>
      </w:r>
      <w:r>
        <w:rPr>
          <w:rFonts w:hint="eastAsia" w:ascii="宋体" w:hAnsi="宋体" w:cs="宋体"/>
          <w:b/>
          <w:color w:val="auto"/>
          <w:spacing w:val="-9"/>
          <w:w w:val="95"/>
          <w:sz w:val="21"/>
          <w:szCs w:val="21"/>
          <w:highlight w:val="none"/>
        </w:rPr>
        <w:t xml:space="preserve">联系电话，点击“保存”按钮保存信息，依次完成“网上支付”与“下  </w:t>
      </w:r>
      <w:r>
        <w:rPr>
          <w:rFonts w:hint="eastAsia" w:ascii="宋体" w:hAnsi="宋体" w:cs="宋体"/>
          <w:b/>
          <w:color w:val="auto"/>
          <w:spacing w:val="-9"/>
          <w:sz w:val="21"/>
          <w:szCs w:val="21"/>
          <w:highlight w:val="none"/>
        </w:rPr>
        <w:t>载招标文件”操作，如下图：</w:t>
      </w:r>
    </w:p>
    <w:p w14:paraId="7B0D9322">
      <w:pPr>
        <w:spacing w:line="278" w:lineRule="auto"/>
        <w:rPr>
          <w:rFonts w:hint="eastAsia" w:ascii="宋体" w:hAnsi="宋体" w:cs="宋体"/>
          <w:b/>
          <w:color w:val="auto"/>
          <w:highlight w:val="none"/>
        </w:rPr>
        <w:sectPr>
          <w:pgSz w:w="11910" w:h="16840"/>
          <w:pgMar w:top="1380" w:right="1500" w:bottom="1140" w:left="1680" w:header="595" w:footer="948" w:gutter="0"/>
          <w:cols w:space="720" w:num="1"/>
        </w:sectPr>
      </w:pPr>
    </w:p>
    <w:p w14:paraId="09B2F121">
      <w:pPr>
        <w:pStyle w:val="7"/>
        <w:spacing w:before="1"/>
        <w:rPr>
          <w:rFonts w:hint="eastAsia" w:ascii="宋体" w:hAnsi="宋体" w:cs="宋体"/>
          <w:b/>
          <w:color w:val="auto"/>
          <w:sz w:val="15"/>
          <w:highlight w:val="none"/>
        </w:rPr>
      </w:pPr>
    </w:p>
    <w:p w14:paraId="0B1F733E">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89550" cy="2394585"/>
            <wp:effectExtent l="0" t="0" r="6350" b="5715"/>
            <wp:docPr id="7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1"/>
                    <pic:cNvPicPr>
                      <a:picLocks noChangeAspect="1"/>
                    </pic:cNvPicPr>
                  </pic:nvPicPr>
                  <pic:blipFill>
                    <a:blip r:embed="rId44"/>
                    <a:stretch>
                      <a:fillRect/>
                    </a:stretch>
                  </pic:blipFill>
                  <pic:spPr>
                    <a:xfrm>
                      <a:off x="0" y="0"/>
                      <a:ext cx="5289550" cy="2394585"/>
                    </a:xfrm>
                    <a:prstGeom prst="rect">
                      <a:avLst/>
                    </a:prstGeom>
                    <a:noFill/>
                    <a:ln>
                      <a:noFill/>
                    </a:ln>
                  </pic:spPr>
                </pic:pic>
              </a:graphicData>
            </a:graphic>
          </wp:inline>
        </w:drawing>
      </w:r>
    </w:p>
    <w:p w14:paraId="2D80B094">
      <w:pPr>
        <w:pStyle w:val="7"/>
        <w:spacing w:before="2"/>
        <w:rPr>
          <w:rFonts w:hint="eastAsia" w:ascii="宋体" w:hAnsi="宋体" w:cs="宋体"/>
          <w:b/>
          <w:color w:val="auto"/>
          <w:sz w:val="7"/>
          <w:highlight w:val="none"/>
        </w:rPr>
      </w:pPr>
    </w:p>
    <w:p w14:paraId="471D9A3F">
      <w:pPr>
        <w:pStyle w:val="7"/>
        <w:spacing w:before="69"/>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3、选择支付方式支付平台服务费，如下图：</w:t>
      </w:r>
    </w:p>
    <w:p w14:paraId="586CFD9A">
      <w:pPr>
        <w:pStyle w:val="7"/>
        <w:spacing w:before="11"/>
        <w:rPr>
          <w:rFonts w:hint="eastAsia" w:ascii="宋体" w:hAnsi="宋体" w:cs="宋体"/>
          <w:b/>
          <w:color w:val="auto"/>
          <w:sz w:val="9"/>
          <w:highlight w:val="none"/>
        </w:rPr>
      </w:pPr>
      <w:r>
        <w:rPr>
          <w:rFonts w:hint="eastAsia" w:ascii="宋体" w:hAnsi="宋体" w:cs="宋体"/>
          <w:b/>
          <w:color w:val="auto"/>
          <w:highlight w:val="none"/>
        </w:rPr>
        <w:drawing>
          <wp:inline distT="0" distB="0" distL="114300" distR="114300">
            <wp:extent cx="5290185" cy="2394585"/>
            <wp:effectExtent l="0" t="0" r="5715" b="5715"/>
            <wp:docPr id="7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2"/>
                    <pic:cNvPicPr>
                      <a:picLocks noChangeAspect="1"/>
                    </pic:cNvPicPr>
                  </pic:nvPicPr>
                  <pic:blipFill>
                    <a:blip r:embed="rId45"/>
                    <a:stretch>
                      <a:fillRect/>
                    </a:stretch>
                  </pic:blipFill>
                  <pic:spPr>
                    <a:xfrm>
                      <a:off x="0" y="0"/>
                      <a:ext cx="5290185" cy="2394585"/>
                    </a:xfrm>
                    <a:prstGeom prst="rect">
                      <a:avLst/>
                    </a:prstGeom>
                    <a:noFill/>
                    <a:ln>
                      <a:noFill/>
                    </a:ln>
                  </pic:spPr>
                </pic:pic>
              </a:graphicData>
            </a:graphic>
          </wp:inline>
        </w:drawing>
      </w:r>
    </w:p>
    <w:p w14:paraId="342825C7">
      <w:pPr>
        <w:pStyle w:val="7"/>
        <w:spacing w:before="133"/>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4、点击“下载”按钮下载招标文件，下载完成即报名成功。</w:t>
      </w:r>
    </w:p>
    <w:p w14:paraId="58E3A1E8">
      <w:pPr>
        <w:pStyle w:val="7"/>
        <w:spacing w:before="11"/>
        <w:rPr>
          <w:rFonts w:hint="eastAsia" w:ascii="宋体" w:hAnsi="宋体" w:cs="宋体"/>
          <w:b/>
          <w:color w:val="auto"/>
          <w:sz w:val="9"/>
          <w:highlight w:val="none"/>
        </w:rPr>
      </w:pPr>
      <w:r>
        <w:rPr>
          <w:rFonts w:hint="eastAsia" w:ascii="宋体" w:hAnsi="宋体" w:cs="宋体"/>
          <w:b/>
          <w:color w:val="auto"/>
          <w:highlight w:val="none"/>
        </w:rPr>
        <w:drawing>
          <wp:inline distT="0" distB="0" distL="114300" distR="114300">
            <wp:extent cx="5107940" cy="2312035"/>
            <wp:effectExtent l="0" t="0" r="16510" b="12065"/>
            <wp:docPr id="7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3"/>
                    <pic:cNvPicPr>
                      <a:picLocks noChangeAspect="1"/>
                    </pic:cNvPicPr>
                  </pic:nvPicPr>
                  <pic:blipFill>
                    <a:blip r:embed="rId46"/>
                    <a:stretch>
                      <a:fillRect/>
                    </a:stretch>
                  </pic:blipFill>
                  <pic:spPr>
                    <a:xfrm>
                      <a:off x="0" y="0"/>
                      <a:ext cx="5107940" cy="2312035"/>
                    </a:xfrm>
                    <a:prstGeom prst="rect">
                      <a:avLst/>
                    </a:prstGeom>
                    <a:noFill/>
                    <a:ln>
                      <a:noFill/>
                    </a:ln>
                  </pic:spPr>
                </pic:pic>
              </a:graphicData>
            </a:graphic>
          </wp:inline>
        </w:drawing>
      </w:r>
    </w:p>
    <w:p w14:paraId="6B19B7EE">
      <w:pPr>
        <w:rPr>
          <w:rFonts w:hint="eastAsia" w:ascii="宋体" w:hAnsi="宋体" w:cs="宋体"/>
          <w:b/>
          <w:color w:val="auto"/>
          <w:sz w:val="9"/>
          <w:highlight w:val="none"/>
        </w:rPr>
        <w:sectPr>
          <w:pgSz w:w="11910" w:h="16840"/>
          <w:pgMar w:top="1380" w:right="1500" w:bottom="1140" w:left="1680" w:header="595" w:footer="948" w:gutter="0"/>
          <w:cols w:space="720" w:num="1"/>
        </w:sectPr>
      </w:pPr>
    </w:p>
    <w:p w14:paraId="20EF9F71">
      <w:pPr>
        <w:tabs>
          <w:tab w:val="left" w:pos="574"/>
        </w:tabs>
        <w:autoSpaceDE w:val="0"/>
        <w:autoSpaceDN w:val="0"/>
        <w:spacing w:before="120" w:after="120"/>
        <w:rPr>
          <w:rFonts w:hint="eastAsia" w:ascii="宋体" w:hAnsi="宋体" w:cs="宋体"/>
          <w:b/>
          <w:color w:val="auto"/>
          <w:szCs w:val="21"/>
          <w:highlight w:val="none"/>
        </w:rPr>
      </w:pPr>
      <w:r>
        <w:rPr>
          <w:rFonts w:hint="eastAsia" w:ascii="宋体" w:hAnsi="宋体" w:cs="宋体"/>
          <w:b/>
          <w:color w:val="auto"/>
          <w:spacing w:val="-12"/>
          <w:szCs w:val="21"/>
          <w:highlight w:val="none"/>
        </w:rPr>
        <w:t>4.2、 我的项目</w:t>
      </w:r>
    </w:p>
    <w:p w14:paraId="5A4CAC12">
      <w:pPr>
        <w:pStyle w:val="7"/>
        <w:spacing w:before="6"/>
        <w:rPr>
          <w:rFonts w:hint="eastAsia" w:ascii="宋体" w:hAnsi="宋体" w:cs="宋体"/>
          <w:b/>
          <w:color w:val="auto"/>
          <w:sz w:val="21"/>
          <w:szCs w:val="21"/>
          <w:highlight w:val="none"/>
        </w:rPr>
      </w:pPr>
    </w:p>
    <w:p w14:paraId="11625B37">
      <w:pPr>
        <w:tabs>
          <w:tab w:val="left" w:pos="828"/>
        </w:tabs>
        <w:autoSpaceDE w:val="0"/>
        <w:autoSpaceDN w:val="0"/>
        <w:ind w:left="142"/>
        <w:rPr>
          <w:rFonts w:hint="eastAsia" w:ascii="宋体" w:hAnsi="宋体" w:cs="宋体"/>
          <w:b/>
          <w:color w:val="auto"/>
          <w:szCs w:val="21"/>
          <w:highlight w:val="none"/>
        </w:rPr>
      </w:pPr>
      <w:r>
        <w:rPr>
          <w:rFonts w:hint="eastAsia" w:ascii="宋体" w:hAnsi="宋体" w:cs="宋体"/>
          <w:b/>
          <w:color w:val="auto"/>
          <w:spacing w:val="14"/>
          <w:szCs w:val="21"/>
          <w:highlight w:val="none"/>
        </w:rPr>
        <w:t>4.2.1、 交易文件领取</w:t>
      </w:r>
    </w:p>
    <w:p w14:paraId="61B9EB7E">
      <w:pPr>
        <w:pStyle w:val="7"/>
        <w:spacing w:before="5"/>
        <w:rPr>
          <w:rFonts w:hint="eastAsia" w:ascii="宋体" w:hAnsi="宋体" w:cs="宋体"/>
          <w:b/>
          <w:color w:val="auto"/>
          <w:sz w:val="25"/>
          <w:highlight w:val="none"/>
        </w:rPr>
      </w:pPr>
    </w:p>
    <w:p w14:paraId="6E816DD3">
      <w:pPr>
        <w:pStyle w:val="7"/>
        <w:spacing w:line="278" w:lineRule="auto"/>
        <w:ind w:left="120" w:right="206" w:firstLine="420"/>
        <w:rPr>
          <w:rFonts w:hint="eastAsia" w:ascii="宋体" w:hAnsi="宋体" w:cs="宋体"/>
          <w:b/>
          <w:color w:val="auto"/>
          <w:highlight w:val="none"/>
        </w:rPr>
      </w:pPr>
      <w:r>
        <w:rPr>
          <w:rFonts w:hint="eastAsia" w:ascii="宋体" w:hAnsi="宋体" w:cs="宋体"/>
          <w:b/>
          <w:color w:val="auto"/>
          <w:highlight w:val="none"/>
        </w:rPr>
        <w:drawing>
          <wp:inline distT="0" distB="0" distL="114300" distR="114300">
            <wp:extent cx="5290185" cy="2394585"/>
            <wp:effectExtent l="0" t="0" r="5715" b="5715"/>
            <wp:docPr id="7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4"/>
                    <pic:cNvPicPr>
                      <a:picLocks noChangeAspect="1"/>
                    </pic:cNvPicPr>
                  </pic:nvPicPr>
                  <pic:blipFill>
                    <a:blip r:embed="rId43"/>
                    <a:stretch>
                      <a:fillRect/>
                    </a:stretch>
                  </pic:blipFill>
                  <pic:spPr>
                    <a:xfrm>
                      <a:off x="0" y="0"/>
                      <a:ext cx="5290185" cy="2394585"/>
                    </a:xfrm>
                    <a:prstGeom prst="rect">
                      <a:avLst/>
                    </a:prstGeom>
                    <a:noFill/>
                    <a:ln>
                      <a:noFill/>
                    </a:ln>
                  </pic:spPr>
                </pic:pic>
              </a:graphicData>
            </a:graphic>
          </wp:inline>
        </w:drawing>
      </w:r>
      <w:r>
        <w:rPr>
          <w:rFonts w:hint="eastAsia" w:ascii="宋体" w:hAnsi="宋体" w:cs="宋体"/>
          <w:b/>
          <w:color w:val="auto"/>
          <w:spacing w:val="1"/>
          <w:w w:val="99"/>
          <w:highlight w:val="none"/>
        </w:rPr>
        <w:t>1</w:t>
      </w:r>
      <w:r>
        <w:rPr>
          <w:rFonts w:hint="eastAsia" w:ascii="宋体" w:hAnsi="宋体" w:cs="宋体"/>
          <w:b/>
          <w:color w:val="auto"/>
          <w:spacing w:val="-10"/>
          <w:w w:val="99"/>
          <w:highlight w:val="none"/>
        </w:rPr>
        <w:t>、点击“我的项目”，找到需要领取文件的项目，鼠标放置项目上，点击“进入项目”</w:t>
      </w:r>
      <w:r>
        <w:rPr>
          <w:rFonts w:hint="eastAsia" w:ascii="宋体" w:hAnsi="宋体" w:cs="宋体"/>
          <w:b/>
          <w:color w:val="auto"/>
          <w:spacing w:val="-10"/>
          <w:highlight w:val="none"/>
        </w:rPr>
        <w:t>按钮，进入项目详情页面，如下图：</w:t>
      </w:r>
    </w:p>
    <w:p w14:paraId="2E1A7446">
      <w:pPr>
        <w:pStyle w:val="7"/>
        <w:spacing w:before="133" w:after="122" w:line="278" w:lineRule="auto"/>
        <w:ind w:left="120" w:right="299" w:firstLine="420"/>
        <w:rPr>
          <w:rFonts w:hint="eastAsia" w:ascii="宋体" w:hAnsi="宋体" w:cs="宋体"/>
          <w:b/>
          <w:color w:val="auto"/>
          <w:highlight w:val="none"/>
        </w:rPr>
      </w:pPr>
      <w:r>
        <w:rPr>
          <w:rFonts w:hint="eastAsia" w:ascii="宋体" w:hAnsi="宋体" w:cs="宋体"/>
          <w:b/>
          <w:color w:val="auto"/>
          <w:w w:val="95"/>
          <w:highlight w:val="none"/>
        </w:rPr>
        <w:t>2</w:t>
      </w:r>
      <w:r>
        <w:rPr>
          <w:rFonts w:hint="eastAsia" w:ascii="宋体" w:hAnsi="宋体" w:cs="宋体"/>
          <w:b/>
          <w:color w:val="auto"/>
          <w:spacing w:val="-4"/>
          <w:w w:val="95"/>
          <w:highlight w:val="none"/>
        </w:rPr>
        <w:t>、填写联系人</w:t>
      </w:r>
      <w:r>
        <w:rPr>
          <w:rFonts w:hint="eastAsia" w:ascii="宋体" w:hAnsi="宋体" w:cs="宋体"/>
          <w:b/>
          <w:color w:val="auto"/>
          <w:w w:val="95"/>
          <w:highlight w:val="none"/>
        </w:rPr>
        <w:t>/</w:t>
      </w:r>
      <w:r>
        <w:rPr>
          <w:rFonts w:hint="eastAsia" w:ascii="宋体" w:hAnsi="宋体" w:cs="宋体"/>
          <w:b/>
          <w:color w:val="auto"/>
          <w:spacing w:val="-9"/>
          <w:w w:val="95"/>
          <w:highlight w:val="none"/>
        </w:rPr>
        <w:t xml:space="preserve">联系电话，点击“保存”按钮保存信息，依次完成“网上支付”与“下  </w:t>
      </w:r>
      <w:r>
        <w:rPr>
          <w:rFonts w:hint="eastAsia" w:ascii="宋体" w:hAnsi="宋体" w:cs="宋体"/>
          <w:b/>
          <w:color w:val="auto"/>
          <w:spacing w:val="-9"/>
          <w:highlight w:val="none"/>
        </w:rPr>
        <w:t>载招标文件”操作，如下图：</w:t>
      </w:r>
    </w:p>
    <w:p w14:paraId="582285C6">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89550" cy="2394585"/>
            <wp:effectExtent l="0" t="0" r="6350" b="5715"/>
            <wp:docPr id="7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5"/>
                    <pic:cNvPicPr>
                      <a:picLocks noChangeAspect="1"/>
                    </pic:cNvPicPr>
                  </pic:nvPicPr>
                  <pic:blipFill>
                    <a:blip r:embed="rId44"/>
                    <a:stretch>
                      <a:fillRect/>
                    </a:stretch>
                  </pic:blipFill>
                  <pic:spPr>
                    <a:xfrm>
                      <a:off x="0" y="0"/>
                      <a:ext cx="5289550" cy="2394585"/>
                    </a:xfrm>
                    <a:prstGeom prst="rect">
                      <a:avLst/>
                    </a:prstGeom>
                    <a:noFill/>
                    <a:ln>
                      <a:noFill/>
                    </a:ln>
                  </pic:spPr>
                </pic:pic>
              </a:graphicData>
            </a:graphic>
          </wp:inline>
        </w:drawing>
      </w:r>
    </w:p>
    <w:p w14:paraId="33794C0F">
      <w:pPr>
        <w:pStyle w:val="7"/>
        <w:spacing w:before="161"/>
        <w:ind w:left="540"/>
        <w:rPr>
          <w:rFonts w:hint="eastAsia" w:ascii="宋体" w:hAnsi="宋体" w:cs="宋体"/>
          <w:b/>
          <w:color w:val="auto"/>
          <w:highlight w:val="none"/>
        </w:rPr>
      </w:pPr>
      <w:r>
        <w:rPr>
          <w:rFonts w:hint="eastAsia" w:ascii="宋体" w:hAnsi="宋体" w:cs="宋体"/>
          <w:b/>
          <w:color w:val="auto"/>
          <w:highlight w:val="none"/>
        </w:rPr>
        <w:t>3、选择支付方式支付平台服务费，如下图：</w:t>
      </w:r>
    </w:p>
    <w:p w14:paraId="1E673C32">
      <w:pPr>
        <w:rPr>
          <w:rFonts w:hint="eastAsia" w:ascii="宋体" w:hAnsi="宋体" w:cs="宋体"/>
          <w:b/>
          <w:color w:val="auto"/>
          <w:highlight w:val="none"/>
        </w:rPr>
        <w:sectPr>
          <w:pgSz w:w="11910" w:h="16840"/>
          <w:pgMar w:top="1380" w:right="1500" w:bottom="1140" w:left="1680" w:header="595" w:footer="948" w:gutter="0"/>
          <w:cols w:space="720" w:num="1"/>
        </w:sectPr>
      </w:pPr>
    </w:p>
    <w:p w14:paraId="55247F75">
      <w:pPr>
        <w:pStyle w:val="7"/>
        <w:spacing w:before="1"/>
        <w:rPr>
          <w:rFonts w:hint="eastAsia" w:ascii="宋体" w:hAnsi="宋体" w:cs="宋体"/>
          <w:b/>
          <w:color w:val="auto"/>
          <w:sz w:val="15"/>
          <w:highlight w:val="none"/>
        </w:rPr>
      </w:pPr>
    </w:p>
    <w:p w14:paraId="7D8A540A">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161915" cy="2336800"/>
            <wp:effectExtent l="0" t="0" r="635" b="6350"/>
            <wp:docPr id="8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6"/>
                    <pic:cNvPicPr>
                      <a:picLocks noChangeAspect="1"/>
                    </pic:cNvPicPr>
                  </pic:nvPicPr>
                  <pic:blipFill>
                    <a:blip r:embed="rId45"/>
                    <a:stretch>
                      <a:fillRect/>
                    </a:stretch>
                  </pic:blipFill>
                  <pic:spPr>
                    <a:xfrm>
                      <a:off x="0" y="0"/>
                      <a:ext cx="5161915" cy="2336800"/>
                    </a:xfrm>
                    <a:prstGeom prst="rect">
                      <a:avLst/>
                    </a:prstGeom>
                    <a:noFill/>
                    <a:ln>
                      <a:noFill/>
                    </a:ln>
                  </pic:spPr>
                </pic:pic>
              </a:graphicData>
            </a:graphic>
          </wp:inline>
        </w:drawing>
      </w:r>
    </w:p>
    <w:p w14:paraId="754F4332">
      <w:pPr>
        <w:pStyle w:val="7"/>
        <w:spacing w:before="2"/>
        <w:rPr>
          <w:rFonts w:hint="eastAsia" w:ascii="宋体" w:hAnsi="宋体" w:cs="宋体"/>
          <w:b/>
          <w:color w:val="auto"/>
          <w:sz w:val="7"/>
          <w:highlight w:val="none"/>
        </w:rPr>
      </w:pPr>
    </w:p>
    <w:p w14:paraId="3A0DB285">
      <w:pPr>
        <w:pStyle w:val="7"/>
        <w:spacing w:before="69"/>
        <w:ind w:left="540"/>
        <w:rPr>
          <w:rFonts w:hint="eastAsia" w:ascii="宋体" w:hAnsi="宋体" w:cs="宋体"/>
          <w:b/>
          <w:color w:val="auto"/>
          <w:highlight w:val="none"/>
        </w:rPr>
      </w:pPr>
      <w:r>
        <w:rPr>
          <w:rFonts w:hint="eastAsia" w:ascii="宋体" w:hAnsi="宋体" w:cs="宋体"/>
          <w:b/>
          <w:color w:val="auto"/>
          <w:spacing w:val="1"/>
          <w:w w:val="99"/>
          <w:highlight w:val="none"/>
        </w:rPr>
        <w:t>4</w:t>
      </w:r>
      <w:r>
        <w:rPr>
          <w:rFonts w:hint="eastAsia" w:ascii="宋体" w:hAnsi="宋体" w:cs="宋体"/>
          <w:b/>
          <w:color w:val="auto"/>
          <w:spacing w:val="-6"/>
          <w:w w:val="99"/>
          <w:highlight w:val="none"/>
        </w:rPr>
        <w:t>、关闭支付页面后，跳转到招标文件下载页面，“网上支付”显示为淡绿色。如下图：</w:t>
      </w:r>
      <w:r>
        <w:rPr>
          <w:rFonts w:hint="eastAsia" w:ascii="宋体" w:hAnsi="宋体" w:cs="宋体"/>
          <w:b/>
          <w:color w:val="auto"/>
          <w:highlight w:val="none"/>
        </w:rPr>
        <w:drawing>
          <wp:inline distT="0" distB="0" distL="114300" distR="114300">
            <wp:extent cx="5019040" cy="2272030"/>
            <wp:effectExtent l="0" t="0" r="10160" b="13970"/>
            <wp:docPr id="8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7"/>
                    <pic:cNvPicPr>
                      <a:picLocks noChangeAspect="1"/>
                    </pic:cNvPicPr>
                  </pic:nvPicPr>
                  <pic:blipFill>
                    <a:blip r:embed="rId47"/>
                    <a:stretch>
                      <a:fillRect/>
                    </a:stretch>
                  </pic:blipFill>
                  <pic:spPr>
                    <a:xfrm>
                      <a:off x="0" y="0"/>
                      <a:ext cx="5019040" cy="2272030"/>
                    </a:xfrm>
                    <a:prstGeom prst="rect">
                      <a:avLst/>
                    </a:prstGeom>
                    <a:noFill/>
                    <a:ln>
                      <a:noFill/>
                    </a:ln>
                  </pic:spPr>
                </pic:pic>
              </a:graphicData>
            </a:graphic>
          </wp:inline>
        </w:drawing>
      </w:r>
    </w:p>
    <w:p w14:paraId="18B8BEAA">
      <w:pPr>
        <w:pStyle w:val="7"/>
        <w:spacing w:before="11"/>
        <w:rPr>
          <w:rFonts w:hint="eastAsia" w:ascii="宋体" w:hAnsi="宋体" w:cs="宋体"/>
          <w:b/>
          <w:color w:val="auto"/>
          <w:sz w:val="9"/>
          <w:highlight w:val="none"/>
        </w:rPr>
      </w:pPr>
    </w:p>
    <w:p w14:paraId="52A01FDB">
      <w:pPr>
        <w:pStyle w:val="7"/>
        <w:spacing w:before="116"/>
        <w:ind w:left="540"/>
        <w:rPr>
          <w:rFonts w:hint="eastAsia" w:ascii="宋体" w:hAnsi="宋体" w:cs="宋体"/>
          <w:b/>
          <w:color w:val="auto"/>
          <w:highlight w:val="none"/>
        </w:rPr>
      </w:pPr>
      <w:r>
        <w:rPr>
          <w:rFonts w:hint="eastAsia" w:ascii="宋体" w:hAnsi="宋体" w:cs="宋体"/>
          <w:b/>
          <w:color w:val="auto"/>
          <w:highlight w:val="none"/>
        </w:rPr>
        <w:t>5、交易文件下载页面，点击“下载交易文件”选项，进入文件列表页面，如下图：</w:t>
      </w:r>
      <w:r>
        <w:rPr>
          <w:rFonts w:hint="eastAsia" w:ascii="宋体" w:hAnsi="宋体" w:cs="宋体"/>
          <w:b/>
          <w:color w:val="auto"/>
          <w:highlight w:val="none"/>
        </w:rPr>
        <w:drawing>
          <wp:inline distT="0" distB="0" distL="114300" distR="114300">
            <wp:extent cx="5066665" cy="2293620"/>
            <wp:effectExtent l="0" t="0" r="635" b="11430"/>
            <wp:docPr id="8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8"/>
                    <pic:cNvPicPr>
                      <a:picLocks noChangeAspect="1"/>
                    </pic:cNvPicPr>
                  </pic:nvPicPr>
                  <pic:blipFill>
                    <a:blip r:embed="rId48"/>
                    <a:stretch>
                      <a:fillRect/>
                    </a:stretch>
                  </pic:blipFill>
                  <pic:spPr>
                    <a:xfrm>
                      <a:off x="0" y="0"/>
                      <a:ext cx="5066665" cy="2293620"/>
                    </a:xfrm>
                    <a:prstGeom prst="rect">
                      <a:avLst/>
                    </a:prstGeom>
                    <a:noFill/>
                    <a:ln>
                      <a:noFill/>
                    </a:ln>
                  </pic:spPr>
                </pic:pic>
              </a:graphicData>
            </a:graphic>
          </wp:inline>
        </w:drawing>
      </w:r>
    </w:p>
    <w:p w14:paraId="74BE4D8F">
      <w:pPr>
        <w:pStyle w:val="7"/>
        <w:spacing w:before="11"/>
        <w:rPr>
          <w:rFonts w:hint="eastAsia" w:ascii="宋体" w:hAnsi="宋体" w:cs="宋体"/>
          <w:b/>
          <w:color w:val="auto"/>
          <w:sz w:val="9"/>
          <w:highlight w:val="none"/>
        </w:rPr>
      </w:pPr>
    </w:p>
    <w:p w14:paraId="75C1D152">
      <w:pPr>
        <w:pStyle w:val="7"/>
        <w:spacing w:before="1"/>
        <w:rPr>
          <w:rFonts w:hint="eastAsia" w:ascii="宋体" w:hAnsi="宋体" w:cs="宋体"/>
          <w:b/>
          <w:color w:val="auto"/>
          <w:sz w:val="15"/>
          <w:highlight w:val="none"/>
        </w:rPr>
      </w:pPr>
      <w:r>
        <w:rPr>
          <w:rFonts w:hint="eastAsia" w:ascii="宋体" w:hAnsi="宋体" w:cs="宋体"/>
          <w:b/>
          <w:color w:val="auto"/>
          <w:w w:val="95"/>
          <w:sz w:val="21"/>
          <w:szCs w:val="21"/>
          <w:highlight w:val="none"/>
        </w:rPr>
        <w:t>6</w:t>
      </w:r>
      <w:r>
        <w:rPr>
          <w:rFonts w:hint="eastAsia" w:ascii="宋体" w:hAnsi="宋体" w:cs="宋体"/>
          <w:b/>
          <w:color w:val="auto"/>
          <w:spacing w:val="-15"/>
          <w:w w:val="95"/>
          <w:sz w:val="21"/>
          <w:szCs w:val="21"/>
          <w:highlight w:val="none"/>
        </w:rPr>
        <w:t xml:space="preserve">、文件列表页面，点击“下载交易文件”按钮，下载完后，关闭这个页面，返回到“交  </w:t>
      </w:r>
      <w:r>
        <w:rPr>
          <w:rFonts w:hint="eastAsia" w:ascii="宋体" w:hAnsi="宋体" w:cs="宋体"/>
          <w:b/>
          <w:color w:val="auto"/>
          <w:spacing w:val="-15"/>
          <w:sz w:val="21"/>
          <w:szCs w:val="21"/>
          <w:highlight w:val="none"/>
        </w:rPr>
        <w:t>易文件下载”页面，此时“下载交易文件”显示为橘黄色，如下图：</w:t>
      </w:r>
    </w:p>
    <w:p w14:paraId="56266D57">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89550" cy="2394585"/>
            <wp:effectExtent l="0" t="0" r="6350" b="5715"/>
            <wp:docPr id="8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9"/>
                    <pic:cNvPicPr>
                      <a:picLocks noChangeAspect="1"/>
                    </pic:cNvPicPr>
                  </pic:nvPicPr>
                  <pic:blipFill>
                    <a:blip r:embed="rId46"/>
                    <a:stretch>
                      <a:fillRect/>
                    </a:stretch>
                  </pic:blipFill>
                  <pic:spPr>
                    <a:xfrm>
                      <a:off x="0" y="0"/>
                      <a:ext cx="5289550" cy="2394585"/>
                    </a:xfrm>
                    <a:prstGeom prst="rect">
                      <a:avLst/>
                    </a:prstGeom>
                    <a:noFill/>
                    <a:ln>
                      <a:noFill/>
                    </a:ln>
                  </pic:spPr>
                </pic:pic>
              </a:graphicData>
            </a:graphic>
          </wp:inline>
        </w:drawing>
      </w:r>
    </w:p>
    <w:p w14:paraId="2F9573E7">
      <w:pPr>
        <w:pStyle w:val="7"/>
        <w:spacing w:before="1"/>
        <w:rPr>
          <w:rFonts w:hint="eastAsia" w:ascii="宋体" w:hAnsi="宋体" w:cs="宋体"/>
          <w:b/>
          <w:color w:val="auto"/>
          <w:sz w:val="19"/>
          <w:highlight w:val="none"/>
        </w:rPr>
      </w:pPr>
      <w:r>
        <w:rPr>
          <w:rFonts w:hint="eastAsia" w:ascii="宋体" w:hAnsi="宋体" w:cs="宋体"/>
          <w:b/>
          <w:color w:val="auto"/>
          <w:highlight w:val="none"/>
        </w:rPr>
        <w:drawing>
          <wp:inline distT="0" distB="0" distL="114300" distR="114300">
            <wp:extent cx="5313680" cy="2405380"/>
            <wp:effectExtent l="0" t="0" r="1270" b="13970"/>
            <wp:docPr id="8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30"/>
                    <pic:cNvPicPr>
                      <a:picLocks noChangeAspect="1"/>
                    </pic:cNvPicPr>
                  </pic:nvPicPr>
                  <pic:blipFill>
                    <a:blip r:embed="rId49"/>
                    <a:stretch>
                      <a:fillRect/>
                    </a:stretch>
                  </pic:blipFill>
                  <pic:spPr>
                    <a:xfrm>
                      <a:off x="0" y="0"/>
                      <a:ext cx="5313680" cy="2405380"/>
                    </a:xfrm>
                    <a:prstGeom prst="rect">
                      <a:avLst/>
                    </a:prstGeom>
                    <a:noFill/>
                    <a:ln>
                      <a:noFill/>
                    </a:ln>
                  </pic:spPr>
                </pic:pic>
              </a:graphicData>
            </a:graphic>
          </wp:inline>
        </w:drawing>
      </w:r>
    </w:p>
    <w:p w14:paraId="133BEF1D">
      <w:pPr>
        <w:pStyle w:val="7"/>
        <w:spacing w:before="116"/>
        <w:ind w:left="540"/>
        <w:rPr>
          <w:rFonts w:hint="eastAsia" w:ascii="宋体" w:hAnsi="宋体" w:cs="宋体"/>
          <w:b/>
          <w:color w:val="auto"/>
          <w:highlight w:val="none"/>
        </w:rPr>
      </w:pPr>
      <w:r>
        <w:rPr>
          <w:rFonts w:hint="eastAsia" w:ascii="宋体" w:hAnsi="宋体" w:cs="宋体"/>
          <w:b/>
          <w:color w:val="auto"/>
          <w:spacing w:val="1"/>
          <w:w w:val="99"/>
          <w:highlight w:val="none"/>
        </w:rPr>
        <w:t>7</w:t>
      </w:r>
      <w:r>
        <w:rPr>
          <w:rFonts w:hint="eastAsia" w:ascii="宋体" w:hAnsi="宋体" w:cs="宋体"/>
          <w:b/>
          <w:color w:val="auto"/>
          <w:spacing w:val="-7"/>
          <w:w w:val="99"/>
          <w:highlight w:val="none"/>
        </w:rPr>
        <w:t>、点击“查看支付情况”和“查看下载情况”，可以查看相关情况。</w:t>
      </w:r>
    </w:p>
    <w:p w14:paraId="14BE0A38">
      <w:pPr>
        <w:pStyle w:val="7"/>
        <w:spacing w:before="6"/>
        <w:rPr>
          <w:rFonts w:hint="eastAsia" w:ascii="宋体" w:hAnsi="宋体" w:cs="宋体"/>
          <w:b/>
          <w:color w:val="auto"/>
          <w:sz w:val="15"/>
          <w:highlight w:val="none"/>
        </w:rPr>
      </w:pPr>
    </w:p>
    <w:p w14:paraId="3526E048">
      <w:pPr>
        <w:tabs>
          <w:tab w:val="left" w:pos="828"/>
        </w:tabs>
        <w:autoSpaceDE w:val="0"/>
        <w:autoSpaceDN w:val="0"/>
        <w:spacing w:before="1"/>
        <w:ind w:left="284"/>
        <w:rPr>
          <w:rFonts w:hint="eastAsia" w:ascii="宋体" w:hAnsi="宋体" w:cs="宋体"/>
          <w:b/>
          <w:color w:val="auto"/>
          <w:sz w:val="30"/>
          <w:szCs w:val="30"/>
          <w:highlight w:val="none"/>
        </w:rPr>
      </w:pPr>
      <w:r>
        <w:rPr>
          <w:rFonts w:hint="eastAsia" w:ascii="宋体" w:hAnsi="宋体" w:cs="宋体"/>
          <w:b/>
          <w:color w:val="auto"/>
          <w:spacing w:val="14"/>
          <w:sz w:val="30"/>
          <w:szCs w:val="30"/>
          <w:highlight w:val="none"/>
        </w:rPr>
        <w:t>4.2.2、 答疑文件领取</w:t>
      </w:r>
    </w:p>
    <w:p w14:paraId="517407A9">
      <w:pPr>
        <w:pStyle w:val="7"/>
        <w:spacing w:before="2"/>
        <w:rPr>
          <w:rFonts w:hint="eastAsia" w:ascii="宋体" w:hAnsi="宋体" w:cs="宋体"/>
          <w:b/>
          <w:color w:val="auto"/>
          <w:sz w:val="25"/>
          <w:highlight w:val="none"/>
        </w:rPr>
      </w:pPr>
    </w:p>
    <w:p w14:paraId="377FA9EC">
      <w:pPr>
        <w:pStyle w:val="7"/>
        <w:spacing w:before="1" w:line="278" w:lineRule="auto"/>
        <w:ind w:left="120" w:right="299" w:firstLine="420"/>
        <w:rPr>
          <w:rFonts w:hint="eastAsia" w:ascii="宋体" w:hAnsi="宋体" w:cs="宋体"/>
          <w:b/>
          <w:color w:val="auto"/>
          <w:highlight w:val="none"/>
        </w:rPr>
      </w:pPr>
      <w:r>
        <w:rPr>
          <w:rFonts w:hint="eastAsia" w:ascii="宋体" w:hAnsi="宋体" w:cs="宋体"/>
          <w:b/>
          <w:color w:val="auto"/>
          <w:spacing w:val="1"/>
          <w:w w:val="99"/>
          <w:highlight w:val="none"/>
        </w:rPr>
        <w:t>1</w:t>
      </w:r>
      <w:r>
        <w:rPr>
          <w:rFonts w:hint="eastAsia" w:ascii="宋体" w:hAnsi="宋体" w:cs="宋体"/>
          <w:b/>
          <w:color w:val="auto"/>
          <w:spacing w:val="-15"/>
          <w:w w:val="99"/>
          <w:highlight w:val="none"/>
        </w:rPr>
        <w:t>、点击“我的项目”，找到需要领取答疑澄清文件的项目，鼠标放置项目上，点击“进</w:t>
      </w:r>
      <w:r>
        <w:rPr>
          <w:rFonts w:hint="eastAsia" w:ascii="宋体" w:hAnsi="宋体" w:cs="宋体"/>
          <w:b/>
          <w:color w:val="auto"/>
          <w:spacing w:val="-15"/>
          <w:highlight w:val="none"/>
        </w:rPr>
        <w:t>入项目”按钮，进入项目详情页面，如下图：</w:t>
      </w:r>
    </w:p>
    <w:p w14:paraId="0842728B">
      <w:pPr>
        <w:spacing w:line="278" w:lineRule="auto"/>
        <w:rPr>
          <w:rFonts w:hint="eastAsia" w:ascii="宋体" w:hAnsi="宋体" w:cs="宋体"/>
          <w:b/>
          <w:color w:val="auto"/>
          <w:highlight w:val="none"/>
        </w:rPr>
        <w:sectPr>
          <w:pgSz w:w="11910" w:h="16840"/>
          <w:pgMar w:top="1380" w:right="1500" w:bottom="1140" w:left="1680" w:header="595" w:footer="948" w:gutter="0"/>
          <w:cols w:space="720" w:num="1"/>
        </w:sectPr>
      </w:pPr>
    </w:p>
    <w:p w14:paraId="35B91E9B">
      <w:pPr>
        <w:pStyle w:val="7"/>
        <w:spacing w:before="1"/>
        <w:rPr>
          <w:rFonts w:hint="eastAsia" w:ascii="宋体" w:hAnsi="宋体" w:cs="宋体"/>
          <w:b/>
          <w:color w:val="auto"/>
          <w:sz w:val="15"/>
          <w:highlight w:val="none"/>
        </w:rPr>
      </w:pPr>
    </w:p>
    <w:p w14:paraId="7F518FFF">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89550" cy="2394585"/>
            <wp:effectExtent l="0" t="0" r="6350" b="5715"/>
            <wp:docPr id="85"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31"/>
                    <pic:cNvPicPr>
                      <a:picLocks noChangeAspect="1"/>
                    </pic:cNvPicPr>
                  </pic:nvPicPr>
                  <pic:blipFill>
                    <a:blip r:embed="rId50"/>
                    <a:stretch>
                      <a:fillRect/>
                    </a:stretch>
                  </pic:blipFill>
                  <pic:spPr>
                    <a:xfrm>
                      <a:off x="0" y="0"/>
                      <a:ext cx="5289550" cy="2394585"/>
                    </a:xfrm>
                    <a:prstGeom prst="rect">
                      <a:avLst/>
                    </a:prstGeom>
                    <a:noFill/>
                    <a:ln>
                      <a:noFill/>
                    </a:ln>
                  </pic:spPr>
                </pic:pic>
              </a:graphicData>
            </a:graphic>
          </wp:inline>
        </w:drawing>
      </w:r>
    </w:p>
    <w:p w14:paraId="0971B8A6">
      <w:pPr>
        <w:pStyle w:val="7"/>
        <w:spacing w:before="2"/>
        <w:rPr>
          <w:rFonts w:hint="eastAsia" w:ascii="宋体" w:hAnsi="宋体" w:cs="宋体"/>
          <w:b/>
          <w:color w:val="auto"/>
          <w:sz w:val="7"/>
          <w:highlight w:val="none"/>
        </w:rPr>
      </w:pPr>
    </w:p>
    <w:p w14:paraId="4B9B86F5">
      <w:pPr>
        <w:pStyle w:val="7"/>
        <w:spacing w:before="69"/>
        <w:ind w:left="120"/>
        <w:rPr>
          <w:rFonts w:hint="eastAsia" w:ascii="宋体" w:hAnsi="宋体" w:cs="宋体"/>
          <w:b/>
          <w:color w:val="auto"/>
          <w:highlight w:val="none"/>
        </w:rPr>
      </w:pPr>
      <w:r>
        <w:rPr>
          <w:rFonts w:hint="eastAsia" w:ascii="宋体" w:hAnsi="宋体" w:cs="宋体"/>
          <w:b/>
          <w:color w:val="auto"/>
          <w:highlight w:val="none"/>
        </w:rPr>
        <w:t>2、项目流程页面，点击“答疑文件下载”菜单，进入“答疑文件下载”页面，如下图：</w:t>
      </w:r>
    </w:p>
    <w:p w14:paraId="3F28D396">
      <w:pPr>
        <w:pStyle w:val="7"/>
        <w:spacing w:before="11"/>
        <w:rPr>
          <w:rFonts w:hint="eastAsia" w:ascii="宋体" w:hAnsi="宋体" w:cs="宋体"/>
          <w:b/>
          <w:color w:val="auto"/>
          <w:sz w:val="9"/>
          <w:highlight w:val="none"/>
        </w:rPr>
      </w:pPr>
      <w:r>
        <w:rPr>
          <w:rFonts w:hint="eastAsia" w:ascii="宋体" w:hAnsi="宋体" w:cs="宋体"/>
          <w:b/>
          <w:color w:val="auto"/>
          <w:highlight w:val="none"/>
        </w:rPr>
        <w:drawing>
          <wp:inline distT="0" distB="0" distL="114300" distR="114300">
            <wp:extent cx="5313680" cy="2405380"/>
            <wp:effectExtent l="0" t="0" r="1270" b="13970"/>
            <wp:docPr id="86"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32"/>
                    <pic:cNvPicPr>
                      <a:picLocks noChangeAspect="1"/>
                    </pic:cNvPicPr>
                  </pic:nvPicPr>
                  <pic:blipFill>
                    <a:blip r:embed="rId51"/>
                    <a:stretch>
                      <a:fillRect/>
                    </a:stretch>
                  </pic:blipFill>
                  <pic:spPr>
                    <a:xfrm>
                      <a:off x="0" y="0"/>
                      <a:ext cx="5313680" cy="2405380"/>
                    </a:xfrm>
                    <a:prstGeom prst="rect">
                      <a:avLst/>
                    </a:prstGeom>
                    <a:noFill/>
                    <a:ln>
                      <a:noFill/>
                    </a:ln>
                  </pic:spPr>
                </pic:pic>
              </a:graphicData>
            </a:graphic>
          </wp:inline>
        </w:drawing>
      </w:r>
    </w:p>
    <w:p w14:paraId="1DF592EA">
      <w:pPr>
        <w:pStyle w:val="7"/>
        <w:spacing w:before="116"/>
        <w:ind w:left="540"/>
        <w:rPr>
          <w:rFonts w:hint="eastAsia" w:ascii="宋体" w:hAnsi="宋体" w:cs="宋体"/>
          <w:b/>
          <w:color w:val="auto"/>
          <w:highlight w:val="none"/>
        </w:rPr>
      </w:pPr>
      <w:r>
        <w:rPr>
          <w:rFonts w:hint="eastAsia" w:ascii="宋体" w:hAnsi="宋体" w:cs="宋体"/>
          <w:b/>
          <w:color w:val="auto"/>
          <w:highlight w:val="none"/>
        </w:rPr>
        <w:t>3、答疑澄清文件下载页面，点击“下载”按钮，下载答疑澄清文件。</w:t>
      </w:r>
    </w:p>
    <w:p w14:paraId="6AC32532">
      <w:pPr>
        <w:pStyle w:val="7"/>
        <w:spacing w:before="11"/>
        <w:rPr>
          <w:rFonts w:hint="eastAsia" w:ascii="宋体" w:hAnsi="宋体" w:cs="宋体"/>
          <w:b/>
          <w:color w:val="auto"/>
          <w:sz w:val="9"/>
          <w:highlight w:val="none"/>
        </w:rPr>
      </w:pPr>
      <w:r>
        <w:rPr>
          <w:rFonts w:hint="eastAsia" w:ascii="宋体" w:hAnsi="宋体" w:cs="宋体"/>
          <w:b/>
          <w:color w:val="auto"/>
          <w:highlight w:val="none"/>
        </w:rPr>
        <w:drawing>
          <wp:inline distT="0" distB="0" distL="114300" distR="114300">
            <wp:extent cx="5313680" cy="2405380"/>
            <wp:effectExtent l="0" t="0" r="1270" b="13970"/>
            <wp:docPr id="8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3"/>
                    <pic:cNvPicPr>
                      <a:picLocks noChangeAspect="1"/>
                    </pic:cNvPicPr>
                  </pic:nvPicPr>
                  <pic:blipFill>
                    <a:blip r:embed="rId52"/>
                    <a:stretch>
                      <a:fillRect/>
                    </a:stretch>
                  </pic:blipFill>
                  <pic:spPr>
                    <a:xfrm>
                      <a:off x="0" y="0"/>
                      <a:ext cx="5313680" cy="2405380"/>
                    </a:xfrm>
                    <a:prstGeom prst="rect">
                      <a:avLst/>
                    </a:prstGeom>
                    <a:noFill/>
                    <a:ln>
                      <a:noFill/>
                    </a:ln>
                  </pic:spPr>
                </pic:pic>
              </a:graphicData>
            </a:graphic>
          </wp:inline>
        </w:drawing>
      </w:r>
    </w:p>
    <w:p w14:paraId="123C140D">
      <w:pPr>
        <w:pStyle w:val="7"/>
        <w:spacing w:before="116"/>
        <w:ind w:left="540"/>
        <w:rPr>
          <w:rFonts w:hint="eastAsia" w:ascii="宋体" w:hAnsi="宋体" w:cs="宋体"/>
          <w:b/>
          <w:color w:val="auto"/>
          <w:highlight w:val="none"/>
        </w:rPr>
      </w:pPr>
      <w:r>
        <w:rPr>
          <w:rFonts w:hint="eastAsia" w:ascii="宋体" w:hAnsi="宋体" w:cs="宋体"/>
          <w:b/>
          <w:color w:val="auto"/>
          <w:highlight w:val="none"/>
        </w:rPr>
        <w:t>4、下载完后，点击“递交回执”按钮，进入“生成回执函”页面，如下图：</w:t>
      </w:r>
    </w:p>
    <w:p w14:paraId="790D48D4">
      <w:pPr>
        <w:rPr>
          <w:rFonts w:hint="eastAsia" w:ascii="宋体" w:hAnsi="宋体" w:cs="宋体"/>
          <w:b/>
          <w:color w:val="auto"/>
          <w:highlight w:val="none"/>
        </w:rPr>
        <w:sectPr>
          <w:pgSz w:w="11910" w:h="16840"/>
          <w:pgMar w:top="1380" w:right="1500" w:bottom="1140" w:left="1680" w:header="595" w:footer="948" w:gutter="0"/>
          <w:cols w:space="720" w:num="1"/>
        </w:sectPr>
      </w:pPr>
    </w:p>
    <w:p w14:paraId="5B966B3D">
      <w:pPr>
        <w:pStyle w:val="7"/>
        <w:spacing w:before="3"/>
        <w:rPr>
          <w:rFonts w:hint="eastAsia" w:ascii="宋体" w:hAnsi="宋体" w:cs="宋体"/>
          <w:b/>
          <w:color w:val="auto"/>
          <w:sz w:val="13"/>
          <w:highlight w:val="none"/>
        </w:rPr>
      </w:pPr>
    </w:p>
    <w:p w14:paraId="07F221B7">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76215" cy="2038350"/>
            <wp:effectExtent l="0" t="0" r="635" b="0"/>
            <wp:docPr id="88"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34"/>
                    <pic:cNvPicPr>
                      <a:picLocks noChangeAspect="1"/>
                    </pic:cNvPicPr>
                  </pic:nvPicPr>
                  <pic:blipFill>
                    <a:blip r:embed="rId53"/>
                    <a:stretch>
                      <a:fillRect/>
                    </a:stretch>
                  </pic:blipFill>
                  <pic:spPr>
                    <a:xfrm>
                      <a:off x="0" y="0"/>
                      <a:ext cx="5276215" cy="2038350"/>
                    </a:xfrm>
                    <a:prstGeom prst="rect">
                      <a:avLst/>
                    </a:prstGeom>
                    <a:noFill/>
                    <a:ln>
                      <a:noFill/>
                    </a:ln>
                  </pic:spPr>
                </pic:pic>
              </a:graphicData>
            </a:graphic>
          </wp:inline>
        </w:drawing>
      </w:r>
    </w:p>
    <w:p w14:paraId="4E47F241">
      <w:pPr>
        <w:pStyle w:val="7"/>
        <w:rPr>
          <w:rFonts w:hint="eastAsia" w:ascii="宋体" w:hAnsi="宋体" w:cs="宋体"/>
          <w:b/>
          <w:color w:val="auto"/>
          <w:sz w:val="19"/>
          <w:highlight w:val="none"/>
        </w:rPr>
      </w:pPr>
      <w:r>
        <w:rPr>
          <w:rFonts w:hint="eastAsia" w:ascii="宋体" w:hAnsi="宋体" w:cs="宋体"/>
          <w:b/>
          <w:color w:val="auto"/>
          <w:highlight w:val="none"/>
        </w:rPr>
        <w:drawing>
          <wp:inline distT="0" distB="0" distL="114300" distR="114300">
            <wp:extent cx="5267325" cy="1976120"/>
            <wp:effectExtent l="0" t="0" r="9525" b="5080"/>
            <wp:docPr id="8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35"/>
                    <pic:cNvPicPr>
                      <a:picLocks noChangeAspect="1"/>
                    </pic:cNvPicPr>
                  </pic:nvPicPr>
                  <pic:blipFill>
                    <a:blip r:embed="rId54"/>
                    <a:stretch>
                      <a:fillRect/>
                    </a:stretch>
                  </pic:blipFill>
                  <pic:spPr>
                    <a:xfrm>
                      <a:off x="0" y="0"/>
                      <a:ext cx="5267325" cy="1976120"/>
                    </a:xfrm>
                    <a:prstGeom prst="rect">
                      <a:avLst/>
                    </a:prstGeom>
                    <a:noFill/>
                    <a:ln>
                      <a:noFill/>
                    </a:ln>
                  </pic:spPr>
                </pic:pic>
              </a:graphicData>
            </a:graphic>
          </wp:inline>
        </w:drawing>
      </w:r>
    </w:p>
    <w:p w14:paraId="027AC080">
      <w:pPr>
        <w:pStyle w:val="7"/>
        <w:spacing w:before="130" w:after="86" w:line="278" w:lineRule="auto"/>
        <w:ind w:left="120" w:right="299" w:firstLine="420"/>
        <w:rPr>
          <w:rFonts w:hint="eastAsia" w:ascii="宋体" w:hAnsi="宋体" w:cs="宋体"/>
          <w:b/>
          <w:color w:val="auto"/>
          <w:sz w:val="21"/>
          <w:szCs w:val="21"/>
          <w:highlight w:val="none"/>
        </w:rPr>
      </w:pPr>
      <w:r>
        <w:rPr>
          <w:rFonts w:hint="eastAsia" w:ascii="宋体" w:hAnsi="宋体" w:cs="宋体"/>
          <w:b/>
          <w:color w:val="auto"/>
          <w:spacing w:val="1"/>
          <w:w w:val="99"/>
          <w:sz w:val="21"/>
          <w:szCs w:val="21"/>
          <w:highlight w:val="none"/>
        </w:rPr>
        <w:t>5</w:t>
      </w:r>
      <w:r>
        <w:rPr>
          <w:rFonts w:hint="eastAsia" w:ascii="宋体" w:hAnsi="宋体" w:cs="宋体"/>
          <w:b/>
          <w:color w:val="auto"/>
          <w:spacing w:val="-13"/>
          <w:w w:val="99"/>
          <w:sz w:val="21"/>
          <w:szCs w:val="21"/>
          <w:highlight w:val="none"/>
        </w:rPr>
        <w:t>、签章完毕后，点击“签章提交”，完成签章操作。此时“答疑澄清文件下载”页面的</w:t>
      </w:r>
      <w:r>
        <w:rPr>
          <w:rFonts w:hint="eastAsia" w:ascii="宋体" w:hAnsi="宋体" w:cs="宋体"/>
          <w:b/>
          <w:color w:val="auto"/>
          <w:spacing w:val="-13"/>
          <w:sz w:val="21"/>
          <w:szCs w:val="21"/>
          <w:highlight w:val="none"/>
        </w:rPr>
        <w:t>回执函变为已签章字样，如下图：</w:t>
      </w:r>
    </w:p>
    <w:p w14:paraId="739E4640">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60340" cy="2042160"/>
            <wp:effectExtent l="0" t="0" r="16510" b="15240"/>
            <wp:docPr id="9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6"/>
                    <pic:cNvPicPr>
                      <a:picLocks noChangeAspect="1"/>
                    </pic:cNvPicPr>
                  </pic:nvPicPr>
                  <pic:blipFill>
                    <a:blip r:embed="rId55"/>
                    <a:stretch>
                      <a:fillRect/>
                    </a:stretch>
                  </pic:blipFill>
                  <pic:spPr>
                    <a:xfrm>
                      <a:off x="0" y="0"/>
                      <a:ext cx="5260340" cy="2042160"/>
                    </a:xfrm>
                    <a:prstGeom prst="rect">
                      <a:avLst/>
                    </a:prstGeom>
                    <a:noFill/>
                    <a:ln>
                      <a:noFill/>
                    </a:ln>
                  </pic:spPr>
                </pic:pic>
              </a:graphicData>
            </a:graphic>
          </wp:inline>
        </w:drawing>
      </w:r>
    </w:p>
    <w:p w14:paraId="76E02A46">
      <w:pPr>
        <w:pStyle w:val="7"/>
        <w:spacing w:before="7"/>
        <w:rPr>
          <w:rFonts w:hint="eastAsia" w:ascii="宋体" w:hAnsi="宋体" w:cs="宋体"/>
          <w:b/>
          <w:color w:val="auto"/>
          <w:sz w:val="26"/>
          <w:highlight w:val="none"/>
        </w:rPr>
      </w:pPr>
    </w:p>
    <w:p w14:paraId="5E7B2A1F">
      <w:pPr>
        <w:tabs>
          <w:tab w:val="left" w:pos="828"/>
        </w:tabs>
        <w:autoSpaceDE w:val="0"/>
        <w:autoSpaceDN w:val="0"/>
        <w:ind w:left="142"/>
        <w:rPr>
          <w:rFonts w:hint="eastAsia" w:ascii="宋体" w:hAnsi="宋体" w:cs="宋体"/>
          <w:b/>
          <w:color w:val="auto"/>
          <w:sz w:val="30"/>
          <w:szCs w:val="30"/>
          <w:highlight w:val="none"/>
        </w:rPr>
      </w:pPr>
      <w:r>
        <w:rPr>
          <w:rFonts w:hint="eastAsia" w:ascii="宋体" w:hAnsi="宋体" w:cs="宋体"/>
          <w:b/>
          <w:color w:val="auto"/>
          <w:spacing w:val="14"/>
          <w:sz w:val="30"/>
          <w:szCs w:val="30"/>
          <w:highlight w:val="none"/>
        </w:rPr>
        <w:t>4.2.3、 上传响应文件</w:t>
      </w:r>
    </w:p>
    <w:p w14:paraId="3716D459">
      <w:pPr>
        <w:pStyle w:val="7"/>
        <w:spacing w:before="3"/>
        <w:rPr>
          <w:rFonts w:hint="eastAsia" w:ascii="宋体" w:hAnsi="宋体" w:cs="宋体"/>
          <w:b/>
          <w:color w:val="auto"/>
          <w:sz w:val="25"/>
          <w:highlight w:val="none"/>
        </w:rPr>
      </w:pPr>
    </w:p>
    <w:p w14:paraId="514FBD99">
      <w:pPr>
        <w:pStyle w:val="7"/>
        <w:spacing w:line="278" w:lineRule="auto"/>
        <w:ind w:left="120" w:right="299" w:firstLine="420"/>
        <w:rPr>
          <w:rFonts w:hint="eastAsia" w:ascii="宋体" w:hAnsi="宋体" w:cs="宋体"/>
          <w:b/>
          <w:color w:val="auto"/>
          <w:highlight w:val="none"/>
        </w:rPr>
      </w:pPr>
      <w:r>
        <w:rPr>
          <w:rFonts w:hint="eastAsia" w:ascii="宋体" w:hAnsi="宋体" w:cs="宋体"/>
          <w:b/>
          <w:color w:val="auto"/>
          <w:spacing w:val="1"/>
          <w:w w:val="99"/>
          <w:sz w:val="21"/>
          <w:szCs w:val="21"/>
          <w:highlight w:val="none"/>
        </w:rPr>
        <w:t>1</w:t>
      </w:r>
      <w:r>
        <w:rPr>
          <w:rFonts w:hint="eastAsia" w:ascii="宋体" w:hAnsi="宋体" w:cs="宋体"/>
          <w:b/>
          <w:color w:val="auto"/>
          <w:spacing w:val="-15"/>
          <w:w w:val="99"/>
          <w:sz w:val="21"/>
          <w:szCs w:val="21"/>
          <w:highlight w:val="none"/>
        </w:rPr>
        <w:t>、点击“我的项目”，找到需要上传响应文件的项目，鼠标放置项目上，点击“进入项</w:t>
      </w:r>
      <w:r>
        <w:rPr>
          <w:rFonts w:hint="eastAsia" w:ascii="宋体" w:hAnsi="宋体" w:cs="宋体"/>
          <w:b/>
          <w:color w:val="auto"/>
          <w:spacing w:val="-15"/>
          <w:sz w:val="21"/>
          <w:szCs w:val="21"/>
          <w:highlight w:val="none"/>
        </w:rPr>
        <w:t>目”按钮，进入项目详情页面，如下图</w:t>
      </w:r>
      <w:r>
        <w:rPr>
          <w:rFonts w:hint="eastAsia" w:ascii="宋体" w:hAnsi="宋体" w:cs="宋体"/>
          <w:b/>
          <w:color w:val="auto"/>
          <w:spacing w:val="-15"/>
          <w:highlight w:val="none"/>
        </w:rPr>
        <w:t>：</w:t>
      </w:r>
    </w:p>
    <w:p w14:paraId="795C6F8E">
      <w:pPr>
        <w:spacing w:line="278" w:lineRule="auto"/>
        <w:rPr>
          <w:rFonts w:hint="eastAsia" w:ascii="宋体" w:hAnsi="宋体" w:cs="宋体"/>
          <w:b/>
          <w:color w:val="auto"/>
          <w:highlight w:val="none"/>
        </w:rPr>
        <w:sectPr>
          <w:pgSz w:w="11910" w:h="16840"/>
          <w:pgMar w:top="1380" w:right="1500" w:bottom="1140" w:left="1680" w:header="595" w:footer="948" w:gutter="0"/>
          <w:cols w:space="720" w:num="1"/>
        </w:sectPr>
      </w:pPr>
    </w:p>
    <w:p w14:paraId="29AA4A1C">
      <w:pPr>
        <w:pStyle w:val="7"/>
        <w:spacing w:before="1"/>
        <w:rPr>
          <w:rFonts w:hint="eastAsia" w:ascii="宋体" w:hAnsi="宋体" w:cs="宋体"/>
          <w:b/>
          <w:color w:val="auto"/>
          <w:sz w:val="15"/>
          <w:highlight w:val="none"/>
        </w:rPr>
      </w:pPr>
    </w:p>
    <w:p w14:paraId="587B6344">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89550" cy="2394585"/>
            <wp:effectExtent l="0" t="0" r="6350" b="5715"/>
            <wp:docPr id="91"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7"/>
                    <pic:cNvPicPr>
                      <a:picLocks noChangeAspect="1"/>
                    </pic:cNvPicPr>
                  </pic:nvPicPr>
                  <pic:blipFill>
                    <a:blip r:embed="rId50"/>
                    <a:stretch>
                      <a:fillRect/>
                    </a:stretch>
                  </pic:blipFill>
                  <pic:spPr>
                    <a:xfrm>
                      <a:off x="0" y="0"/>
                      <a:ext cx="5289550" cy="2394585"/>
                    </a:xfrm>
                    <a:prstGeom prst="rect">
                      <a:avLst/>
                    </a:prstGeom>
                    <a:noFill/>
                    <a:ln>
                      <a:noFill/>
                    </a:ln>
                  </pic:spPr>
                </pic:pic>
              </a:graphicData>
            </a:graphic>
          </wp:inline>
        </w:drawing>
      </w:r>
    </w:p>
    <w:p w14:paraId="65434154">
      <w:pPr>
        <w:pStyle w:val="7"/>
        <w:spacing w:before="2"/>
        <w:rPr>
          <w:rFonts w:hint="eastAsia" w:ascii="宋体" w:hAnsi="宋体" w:cs="宋体"/>
          <w:b/>
          <w:color w:val="auto"/>
          <w:sz w:val="7"/>
          <w:highlight w:val="none"/>
        </w:rPr>
      </w:pPr>
    </w:p>
    <w:p w14:paraId="6BCF73A7">
      <w:pPr>
        <w:pStyle w:val="7"/>
        <w:spacing w:before="69"/>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2、项目流程页面，点击“上传响应文件”菜单，进入“上传响应文件”页面，如下图：</w:t>
      </w:r>
    </w:p>
    <w:p w14:paraId="48F5E345">
      <w:pPr>
        <w:pStyle w:val="7"/>
        <w:spacing w:before="11"/>
        <w:rPr>
          <w:rFonts w:hint="eastAsia" w:ascii="宋体" w:hAnsi="宋体" w:cs="宋体"/>
          <w:b/>
          <w:color w:val="auto"/>
          <w:sz w:val="9"/>
          <w:highlight w:val="none"/>
        </w:rPr>
      </w:pPr>
      <w:r>
        <w:rPr>
          <w:rFonts w:hint="eastAsia" w:ascii="宋体" w:hAnsi="宋体" w:cs="宋体"/>
          <w:b/>
          <w:color w:val="auto"/>
          <w:highlight w:val="none"/>
        </w:rPr>
        <w:drawing>
          <wp:inline distT="0" distB="0" distL="114300" distR="114300">
            <wp:extent cx="5313680" cy="2405380"/>
            <wp:effectExtent l="0" t="0" r="1270" b="13970"/>
            <wp:docPr id="9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38"/>
                    <pic:cNvPicPr>
                      <a:picLocks noChangeAspect="1"/>
                    </pic:cNvPicPr>
                  </pic:nvPicPr>
                  <pic:blipFill>
                    <a:blip r:embed="rId56"/>
                    <a:stretch>
                      <a:fillRect/>
                    </a:stretch>
                  </pic:blipFill>
                  <pic:spPr>
                    <a:xfrm>
                      <a:off x="0" y="0"/>
                      <a:ext cx="5313680" cy="2405380"/>
                    </a:xfrm>
                    <a:prstGeom prst="rect">
                      <a:avLst/>
                    </a:prstGeom>
                    <a:noFill/>
                    <a:ln>
                      <a:noFill/>
                    </a:ln>
                  </pic:spPr>
                </pic:pic>
              </a:graphicData>
            </a:graphic>
          </wp:inline>
        </w:drawing>
      </w:r>
    </w:p>
    <w:p w14:paraId="1412AF8D">
      <w:pPr>
        <w:pStyle w:val="7"/>
        <w:spacing w:before="116" w:after="122" w:line="278" w:lineRule="auto"/>
        <w:ind w:left="120" w:right="311" w:firstLine="420"/>
        <w:rPr>
          <w:rFonts w:hint="eastAsia" w:ascii="宋体" w:hAnsi="宋体" w:cs="宋体"/>
          <w:b/>
          <w:color w:val="auto"/>
          <w:sz w:val="21"/>
          <w:szCs w:val="21"/>
          <w:highlight w:val="none"/>
        </w:rPr>
      </w:pPr>
      <w:r>
        <w:rPr>
          <w:rFonts w:hint="eastAsia" w:ascii="宋体" w:hAnsi="宋体" w:cs="宋体"/>
          <w:b/>
          <w:color w:val="auto"/>
          <w:sz w:val="21"/>
          <w:szCs w:val="21"/>
          <w:highlight w:val="none"/>
        </w:rPr>
        <w:t>3</w:t>
      </w:r>
      <w:r>
        <w:rPr>
          <w:rFonts w:hint="eastAsia" w:ascii="宋体" w:hAnsi="宋体" w:cs="宋体"/>
          <w:b/>
          <w:color w:val="auto"/>
          <w:spacing w:val="-13"/>
          <w:sz w:val="21"/>
          <w:szCs w:val="21"/>
          <w:highlight w:val="none"/>
        </w:rPr>
        <w:t xml:space="preserve">、“上传响应文件”页面，点击“上传响应文件”按钮，只能选择后缀名为 </w:t>
      </w:r>
      <w:r>
        <w:rPr>
          <w:rFonts w:hint="eastAsia" w:ascii="宋体" w:hAnsi="宋体" w:cs="宋体"/>
          <w:b/>
          <w:color w:val="auto"/>
          <w:sz w:val="21"/>
          <w:szCs w:val="21"/>
          <w:highlight w:val="none"/>
        </w:rPr>
        <w:t>bztf</w:t>
      </w:r>
      <w:r>
        <w:rPr>
          <w:rFonts w:hint="eastAsia" w:ascii="宋体" w:hAnsi="宋体" w:cs="宋体"/>
          <w:b/>
          <w:color w:val="auto"/>
          <w:spacing w:val="-21"/>
          <w:sz w:val="21"/>
          <w:szCs w:val="21"/>
          <w:highlight w:val="none"/>
        </w:rPr>
        <w:t xml:space="preserve"> 类型的文件进行上传。如下图：</w:t>
      </w:r>
    </w:p>
    <w:p w14:paraId="10912639">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309870" cy="2405380"/>
            <wp:effectExtent l="0" t="0" r="5080" b="13970"/>
            <wp:docPr id="9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39"/>
                    <pic:cNvPicPr>
                      <a:picLocks noChangeAspect="1"/>
                    </pic:cNvPicPr>
                  </pic:nvPicPr>
                  <pic:blipFill>
                    <a:blip r:embed="rId57"/>
                    <a:stretch>
                      <a:fillRect/>
                    </a:stretch>
                  </pic:blipFill>
                  <pic:spPr>
                    <a:xfrm>
                      <a:off x="0" y="0"/>
                      <a:ext cx="5309870" cy="2405380"/>
                    </a:xfrm>
                    <a:prstGeom prst="rect">
                      <a:avLst/>
                    </a:prstGeom>
                    <a:noFill/>
                    <a:ln>
                      <a:noFill/>
                    </a:ln>
                  </pic:spPr>
                </pic:pic>
              </a:graphicData>
            </a:graphic>
          </wp:inline>
        </w:drawing>
      </w:r>
    </w:p>
    <w:p w14:paraId="309A2CCD">
      <w:pPr>
        <w:pStyle w:val="7"/>
        <w:spacing w:before="144"/>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注：到了上传投标文件截止时间则无法上传。</w:t>
      </w:r>
    </w:p>
    <w:p w14:paraId="79EEDA51">
      <w:pPr>
        <w:rPr>
          <w:rFonts w:hint="eastAsia" w:ascii="宋体" w:hAnsi="宋体" w:cs="宋体"/>
          <w:b/>
          <w:color w:val="auto"/>
          <w:highlight w:val="none"/>
        </w:rPr>
        <w:sectPr>
          <w:pgSz w:w="11910" w:h="16840"/>
          <w:pgMar w:top="1380" w:right="1500" w:bottom="1140" w:left="1680" w:header="595" w:footer="948" w:gutter="0"/>
          <w:cols w:space="720" w:num="1"/>
        </w:sectPr>
      </w:pPr>
    </w:p>
    <w:p w14:paraId="2A665A28">
      <w:pPr>
        <w:tabs>
          <w:tab w:val="left" w:pos="828"/>
        </w:tabs>
        <w:autoSpaceDE w:val="0"/>
        <w:autoSpaceDN w:val="0"/>
        <w:spacing w:before="51"/>
        <w:ind w:left="142"/>
        <w:rPr>
          <w:rFonts w:hint="eastAsia" w:ascii="宋体" w:hAnsi="宋体" w:cs="宋体"/>
          <w:b/>
          <w:color w:val="auto"/>
          <w:sz w:val="28"/>
          <w:szCs w:val="28"/>
          <w:highlight w:val="none"/>
        </w:rPr>
      </w:pPr>
      <w:r>
        <w:rPr>
          <w:rFonts w:hint="eastAsia" w:ascii="宋体" w:hAnsi="宋体" w:cs="宋体"/>
          <w:b/>
          <w:color w:val="auto"/>
          <w:spacing w:val="14"/>
          <w:sz w:val="28"/>
          <w:szCs w:val="28"/>
          <w:highlight w:val="none"/>
        </w:rPr>
        <w:t>4.2.4、开标签到解密</w:t>
      </w:r>
    </w:p>
    <w:p w14:paraId="36C0998E">
      <w:pPr>
        <w:pStyle w:val="7"/>
        <w:spacing w:before="3"/>
        <w:rPr>
          <w:rFonts w:hint="eastAsia" w:ascii="宋体" w:hAnsi="宋体" w:cs="宋体"/>
          <w:b/>
          <w:color w:val="auto"/>
          <w:sz w:val="28"/>
          <w:szCs w:val="28"/>
          <w:highlight w:val="none"/>
        </w:rPr>
      </w:pPr>
    </w:p>
    <w:p w14:paraId="46953D63">
      <w:pPr>
        <w:pStyle w:val="7"/>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drawing>
          <wp:anchor distT="0" distB="0" distL="114300" distR="114300" simplePos="0" relativeHeight="251665408" behindDoc="1" locked="0" layoutInCell="1" allowOverlap="1">
            <wp:simplePos x="0" y="0"/>
            <wp:positionH relativeFrom="page">
              <wp:posOffset>1108710</wp:posOffset>
            </wp:positionH>
            <wp:positionV relativeFrom="paragraph">
              <wp:posOffset>2269490</wp:posOffset>
            </wp:positionV>
            <wp:extent cx="5291455" cy="1904365"/>
            <wp:effectExtent l="0" t="0" r="4445" b="635"/>
            <wp:wrapTight wrapText="bothSides">
              <wp:wrapPolygon>
                <wp:start x="0" y="0"/>
                <wp:lineTo x="0" y="21391"/>
                <wp:lineTo x="21540" y="21391"/>
                <wp:lineTo x="21540" y="0"/>
                <wp:lineTo x="0" y="0"/>
              </wp:wrapPolygon>
            </wp:wrapTight>
            <wp:docPr id="94"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37.jpeg"/>
                    <pic:cNvPicPr>
                      <a:picLocks noChangeAspect="1"/>
                    </pic:cNvPicPr>
                  </pic:nvPicPr>
                  <pic:blipFill>
                    <a:blip r:embed="rId58"/>
                    <a:stretch>
                      <a:fillRect/>
                    </a:stretch>
                  </pic:blipFill>
                  <pic:spPr>
                    <a:xfrm>
                      <a:off x="0" y="0"/>
                      <a:ext cx="5291455" cy="1904365"/>
                    </a:xfrm>
                    <a:prstGeom prst="rect">
                      <a:avLst/>
                    </a:prstGeom>
                    <a:noFill/>
                    <a:ln>
                      <a:noFill/>
                    </a:ln>
                  </pic:spPr>
                </pic:pic>
              </a:graphicData>
            </a:graphic>
          </wp:anchor>
        </w:drawing>
      </w:r>
      <w:r>
        <w:rPr>
          <w:rFonts w:hint="eastAsia" w:ascii="宋体" w:hAnsi="宋体" w:cs="宋体"/>
          <w:b/>
          <w:color w:val="auto"/>
          <w:sz w:val="21"/>
          <w:szCs w:val="21"/>
          <w:highlight w:val="none"/>
        </w:rPr>
        <w:t>详见《湖州绿色采购平台-不见面开标大厅投标人操作手册》</w:t>
      </w:r>
    </w:p>
    <w:p w14:paraId="04C97B98">
      <w:pPr>
        <w:pStyle w:val="7"/>
        <w:spacing w:before="9"/>
        <w:rPr>
          <w:rFonts w:hint="eastAsia" w:ascii="宋体" w:hAnsi="宋体" w:cs="宋体"/>
          <w:b/>
          <w:color w:val="auto"/>
          <w:sz w:val="28"/>
          <w:szCs w:val="28"/>
          <w:highlight w:val="none"/>
        </w:rPr>
      </w:pPr>
    </w:p>
    <w:p w14:paraId="1C0CFF4F">
      <w:pPr>
        <w:tabs>
          <w:tab w:val="left" w:pos="828"/>
        </w:tabs>
        <w:autoSpaceDE w:val="0"/>
        <w:autoSpaceDN w:val="0"/>
        <w:ind w:left="284"/>
        <w:rPr>
          <w:rFonts w:hint="eastAsia" w:ascii="宋体" w:hAnsi="宋体" w:cs="宋体"/>
          <w:b/>
          <w:color w:val="auto"/>
          <w:sz w:val="28"/>
          <w:szCs w:val="28"/>
          <w:highlight w:val="none"/>
        </w:rPr>
      </w:pPr>
      <w:r>
        <w:rPr>
          <w:rFonts w:hint="eastAsia" w:ascii="宋体" w:hAnsi="宋体" w:cs="宋体"/>
          <w:b/>
          <w:color w:val="auto"/>
          <w:spacing w:val="14"/>
          <w:sz w:val="28"/>
          <w:szCs w:val="28"/>
          <w:highlight w:val="none"/>
        </w:rPr>
        <w:t>4.2.5、 评标澄清回复</w:t>
      </w:r>
    </w:p>
    <w:p w14:paraId="0B597DEC">
      <w:pPr>
        <w:pStyle w:val="7"/>
        <w:spacing w:before="6"/>
        <w:rPr>
          <w:rFonts w:hint="eastAsia" w:ascii="宋体" w:hAnsi="宋体" w:cs="宋体"/>
          <w:b/>
          <w:color w:val="auto"/>
          <w:sz w:val="25"/>
          <w:highlight w:val="none"/>
        </w:rPr>
      </w:pPr>
    </w:p>
    <w:p w14:paraId="53720A8B">
      <w:pPr>
        <w:spacing w:line="278" w:lineRule="auto"/>
        <w:ind w:left="537" w:right="5239" w:firstLine="4"/>
        <w:rPr>
          <w:rFonts w:hint="eastAsia" w:ascii="宋体" w:hAnsi="宋体" w:cs="宋体"/>
          <w:b/>
          <w:color w:val="auto"/>
          <w:szCs w:val="21"/>
          <w:highlight w:val="none"/>
        </w:rPr>
      </w:pPr>
      <w:r>
        <w:rPr>
          <w:rFonts w:hint="eastAsia" w:ascii="宋体" w:hAnsi="宋体" w:cs="宋体"/>
          <w:b/>
          <w:color w:val="auto"/>
          <w:szCs w:val="21"/>
          <w:highlight w:val="none"/>
        </w:rPr>
        <w:t>功能说明：回复评标澄清问题。操作步骤：</w:t>
      </w:r>
    </w:p>
    <w:p w14:paraId="12BC1AD5">
      <w:pPr>
        <w:pStyle w:val="7"/>
        <w:spacing w:line="269" w:lineRule="exact"/>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1、项目流程页面，点击“评标澄清回复”菜单，进入评标澄清回复列表页面，如下图：</w:t>
      </w:r>
    </w:p>
    <w:p w14:paraId="6AA53720">
      <w:pPr>
        <w:pStyle w:val="7"/>
        <w:spacing w:before="41" w:after="111" w:line="278" w:lineRule="auto"/>
        <w:ind w:left="120" w:right="194" w:firstLine="420"/>
        <w:rPr>
          <w:rFonts w:hint="eastAsia" w:ascii="宋体" w:hAnsi="宋体" w:cs="宋体"/>
          <w:b/>
          <w:color w:val="auto"/>
          <w:sz w:val="21"/>
          <w:szCs w:val="21"/>
          <w:highlight w:val="none"/>
        </w:rPr>
      </w:pPr>
      <w:r>
        <w:rPr>
          <w:rFonts w:hint="eastAsia" w:ascii="宋体" w:hAnsi="宋体" w:cs="宋体"/>
          <w:b/>
          <w:color w:val="auto"/>
          <w:spacing w:val="1"/>
          <w:w w:val="99"/>
          <w:sz w:val="21"/>
          <w:szCs w:val="21"/>
          <w:highlight w:val="none"/>
        </w:rPr>
        <w:t>2</w:t>
      </w:r>
      <w:r>
        <w:rPr>
          <w:rFonts w:hint="eastAsia" w:ascii="宋体" w:hAnsi="宋体" w:cs="宋体"/>
          <w:b/>
          <w:color w:val="auto"/>
          <w:spacing w:val="-18"/>
          <w:w w:val="99"/>
          <w:sz w:val="21"/>
          <w:szCs w:val="21"/>
          <w:highlight w:val="none"/>
        </w:rPr>
        <w:t>、点击“未答复”“已答复”可以分类查看回复信息，点击“答复”按钮可以进行答复。</w:t>
      </w:r>
      <w:r>
        <w:rPr>
          <w:rFonts w:hint="eastAsia" w:ascii="宋体" w:hAnsi="宋体" w:cs="宋体"/>
          <w:b/>
          <w:color w:val="auto"/>
          <w:spacing w:val="-27"/>
          <w:w w:val="99"/>
          <w:sz w:val="21"/>
          <w:szCs w:val="21"/>
          <w:highlight w:val="none"/>
        </w:rPr>
        <w:t>如下图：</w:t>
      </w:r>
      <w:r>
        <w:rPr>
          <w:rFonts w:hint="eastAsia" w:ascii="宋体" w:hAnsi="宋体" w:cs="宋体"/>
          <w:b/>
          <w:color w:val="auto"/>
          <w:spacing w:val="-1"/>
          <w:w w:val="99"/>
          <w:sz w:val="21"/>
          <w:szCs w:val="21"/>
          <w:highlight w:val="none"/>
        </w:rPr>
        <w:t>（网招的才会走该菜单</w:t>
      </w:r>
      <w:r>
        <w:rPr>
          <w:rFonts w:hint="eastAsia" w:ascii="宋体" w:hAnsi="宋体" w:cs="宋体"/>
          <w:b/>
          <w:color w:val="auto"/>
          <w:w w:val="99"/>
          <w:sz w:val="21"/>
          <w:szCs w:val="21"/>
          <w:highlight w:val="none"/>
        </w:rPr>
        <w:t>）</w:t>
      </w:r>
    </w:p>
    <w:p w14:paraId="751C8BB3">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83835" cy="1417320"/>
            <wp:effectExtent l="0" t="0" r="12065" b="11430"/>
            <wp:docPr id="9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40"/>
                    <pic:cNvPicPr>
                      <a:picLocks noChangeAspect="1"/>
                    </pic:cNvPicPr>
                  </pic:nvPicPr>
                  <pic:blipFill>
                    <a:blip r:embed="rId59"/>
                    <a:stretch>
                      <a:fillRect/>
                    </a:stretch>
                  </pic:blipFill>
                  <pic:spPr>
                    <a:xfrm>
                      <a:off x="0" y="0"/>
                      <a:ext cx="5283835" cy="1417320"/>
                    </a:xfrm>
                    <a:prstGeom prst="rect">
                      <a:avLst/>
                    </a:prstGeom>
                    <a:noFill/>
                    <a:ln>
                      <a:noFill/>
                    </a:ln>
                  </pic:spPr>
                </pic:pic>
              </a:graphicData>
            </a:graphic>
          </wp:inline>
        </w:drawing>
      </w:r>
    </w:p>
    <w:p w14:paraId="368F9F44">
      <w:pPr>
        <w:pStyle w:val="7"/>
        <w:spacing w:before="1"/>
        <w:rPr>
          <w:rFonts w:hint="eastAsia" w:ascii="宋体" w:hAnsi="宋体" w:cs="宋体"/>
          <w:b/>
          <w:color w:val="auto"/>
          <w:highlight w:val="none"/>
        </w:rPr>
      </w:pPr>
    </w:p>
    <w:p w14:paraId="3AA2CD04">
      <w:pPr>
        <w:tabs>
          <w:tab w:val="left" w:pos="828"/>
        </w:tabs>
        <w:autoSpaceDE w:val="0"/>
        <w:autoSpaceDN w:val="0"/>
        <w:ind w:left="284"/>
        <w:rPr>
          <w:rFonts w:hint="eastAsia" w:ascii="宋体" w:hAnsi="宋体" w:cs="宋体"/>
          <w:b/>
          <w:color w:val="auto"/>
          <w:sz w:val="28"/>
          <w:szCs w:val="28"/>
          <w:highlight w:val="none"/>
        </w:rPr>
      </w:pPr>
      <w:r>
        <w:rPr>
          <w:rFonts w:hint="eastAsia" w:ascii="宋体" w:hAnsi="宋体" w:cs="宋体"/>
          <w:b/>
          <w:color w:val="auto"/>
          <w:spacing w:val="-3"/>
          <w:sz w:val="28"/>
          <w:szCs w:val="28"/>
          <w:highlight w:val="none"/>
        </w:rPr>
        <w:t>4.2.6、 提 问</w:t>
      </w:r>
    </w:p>
    <w:p w14:paraId="2FF582C1">
      <w:pPr>
        <w:pStyle w:val="7"/>
        <w:spacing w:before="5"/>
        <w:rPr>
          <w:rFonts w:hint="eastAsia" w:ascii="宋体" w:hAnsi="宋体" w:cs="宋体"/>
          <w:b/>
          <w:color w:val="auto"/>
          <w:sz w:val="25"/>
          <w:highlight w:val="none"/>
        </w:rPr>
      </w:pPr>
    </w:p>
    <w:p w14:paraId="5C025C1C">
      <w:pPr>
        <w:pStyle w:val="7"/>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1、项目流程页面，点击“提问”菜单，进入“查看问题”页面，如下图：</w:t>
      </w:r>
    </w:p>
    <w:p w14:paraId="75711ACD">
      <w:pPr>
        <w:rPr>
          <w:rFonts w:hint="eastAsia" w:ascii="宋体" w:hAnsi="宋体" w:cs="宋体"/>
          <w:b/>
          <w:color w:val="auto"/>
          <w:highlight w:val="none"/>
        </w:rPr>
        <w:sectPr>
          <w:pgSz w:w="11910" w:h="16840"/>
          <w:pgMar w:top="1380" w:right="1500" w:bottom="1140" w:left="1680" w:header="595" w:footer="948" w:gutter="0"/>
          <w:cols w:space="720" w:num="1"/>
        </w:sectPr>
      </w:pPr>
    </w:p>
    <w:p w14:paraId="7434D58D">
      <w:pPr>
        <w:pStyle w:val="7"/>
        <w:spacing w:before="5"/>
        <w:rPr>
          <w:rFonts w:hint="eastAsia" w:ascii="宋体" w:hAnsi="宋体" w:cs="宋体"/>
          <w:b/>
          <w:color w:val="auto"/>
          <w:sz w:val="10"/>
          <w:highlight w:val="none"/>
        </w:rPr>
      </w:pPr>
    </w:p>
    <w:p w14:paraId="0A1F65CC">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309870" cy="2447290"/>
            <wp:effectExtent l="0" t="0" r="5080" b="10160"/>
            <wp:docPr id="9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41"/>
                    <pic:cNvPicPr>
                      <a:picLocks noChangeAspect="1"/>
                    </pic:cNvPicPr>
                  </pic:nvPicPr>
                  <pic:blipFill>
                    <a:blip r:embed="rId60"/>
                    <a:stretch>
                      <a:fillRect/>
                    </a:stretch>
                  </pic:blipFill>
                  <pic:spPr>
                    <a:xfrm>
                      <a:off x="0" y="0"/>
                      <a:ext cx="5309870" cy="2447290"/>
                    </a:xfrm>
                    <a:prstGeom prst="rect">
                      <a:avLst/>
                    </a:prstGeom>
                    <a:noFill/>
                    <a:ln>
                      <a:noFill/>
                    </a:ln>
                  </pic:spPr>
                </pic:pic>
              </a:graphicData>
            </a:graphic>
          </wp:inline>
        </w:drawing>
      </w:r>
    </w:p>
    <w:p w14:paraId="656D09CF">
      <w:pPr>
        <w:pStyle w:val="7"/>
        <w:spacing w:before="138"/>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2、查看问题页面，点击“新增提问”按钮，进入挑选标段（包）页面，如下图：</w:t>
      </w:r>
    </w:p>
    <w:p w14:paraId="600A73CD">
      <w:pPr>
        <w:tabs>
          <w:tab w:val="left" w:pos="828"/>
        </w:tabs>
        <w:autoSpaceDE w:val="0"/>
        <w:autoSpaceDN w:val="0"/>
        <w:spacing w:before="144"/>
        <w:ind w:firstLine="517" w:firstLineChars="245"/>
        <w:rPr>
          <w:rFonts w:hint="eastAsia" w:ascii="宋体" w:hAnsi="宋体" w:cs="宋体"/>
          <w:b/>
          <w:color w:val="auto"/>
          <w:spacing w:val="-3"/>
          <w:sz w:val="28"/>
          <w:szCs w:val="28"/>
          <w:highlight w:val="none"/>
        </w:rPr>
      </w:pPr>
      <w:r>
        <w:rPr>
          <w:rFonts w:hint="eastAsia" w:ascii="宋体" w:hAnsi="宋体" w:cs="宋体"/>
          <w:b/>
          <w:color w:val="auto"/>
          <w:szCs w:val="21"/>
          <w:highlight w:val="none"/>
        </w:rPr>
        <w:drawing>
          <wp:inline distT="0" distB="0" distL="114300" distR="114300">
            <wp:extent cx="5311775" cy="2477135"/>
            <wp:effectExtent l="0" t="0" r="3175" b="18415"/>
            <wp:docPr id="9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42"/>
                    <pic:cNvPicPr>
                      <a:picLocks noChangeAspect="1"/>
                    </pic:cNvPicPr>
                  </pic:nvPicPr>
                  <pic:blipFill>
                    <a:blip r:embed="rId61"/>
                    <a:stretch>
                      <a:fillRect/>
                    </a:stretch>
                  </pic:blipFill>
                  <pic:spPr>
                    <a:xfrm>
                      <a:off x="0" y="0"/>
                      <a:ext cx="5311775" cy="2477135"/>
                    </a:xfrm>
                    <a:prstGeom prst="rect">
                      <a:avLst/>
                    </a:prstGeom>
                    <a:noFill/>
                    <a:ln>
                      <a:noFill/>
                    </a:ln>
                  </pic:spPr>
                </pic:pic>
              </a:graphicData>
            </a:graphic>
          </wp:inline>
        </w:drawing>
      </w:r>
      <w:r>
        <w:rPr>
          <w:rFonts w:hint="eastAsia" w:ascii="宋体" w:hAnsi="宋体" w:cs="宋体"/>
          <w:b/>
          <w:color w:val="auto"/>
          <w:spacing w:val="-3"/>
          <w:szCs w:val="21"/>
          <w:highlight w:val="none"/>
        </w:rPr>
        <w:t>3、选择标段，点击确认选择后，进入新增提问页面。</w:t>
      </w:r>
    </w:p>
    <w:p w14:paraId="1EAA4DE2">
      <w:pPr>
        <w:tabs>
          <w:tab w:val="left" w:pos="828"/>
        </w:tabs>
        <w:autoSpaceDE w:val="0"/>
        <w:autoSpaceDN w:val="0"/>
        <w:spacing w:before="144"/>
        <w:ind w:left="284"/>
        <w:rPr>
          <w:rFonts w:hint="eastAsia" w:ascii="宋体" w:hAnsi="宋体" w:cs="宋体"/>
          <w:b/>
          <w:color w:val="auto"/>
          <w:spacing w:val="-3"/>
          <w:sz w:val="28"/>
          <w:szCs w:val="28"/>
          <w:highlight w:val="none"/>
        </w:rPr>
      </w:pPr>
      <w:r>
        <w:rPr>
          <w:rFonts w:hint="eastAsia" w:ascii="宋体" w:hAnsi="宋体" w:cs="宋体"/>
          <w:b/>
          <w:color w:val="auto"/>
          <w:spacing w:val="-3"/>
          <w:sz w:val="28"/>
          <w:szCs w:val="28"/>
          <w:highlight w:val="none"/>
        </w:rPr>
        <w:t>4.2.7、 质 疑</w:t>
      </w:r>
    </w:p>
    <w:p w14:paraId="52D79009">
      <w:pPr>
        <w:rPr>
          <w:rFonts w:hint="eastAsia" w:ascii="宋体" w:hAnsi="宋体" w:cs="宋体"/>
          <w:b/>
          <w:color w:val="auto"/>
          <w:highlight w:val="none"/>
        </w:rPr>
      </w:pPr>
      <w:r>
        <w:rPr>
          <w:rFonts w:hint="eastAsia" w:ascii="宋体" w:hAnsi="宋体" w:cs="宋体"/>
          <w:b/>
          <w:color w:val="auto"/>
          <w:highlight w:val="none"/>
        </w:rPr>
        <w:t>1、项目流程页面，点击“质疑”菜单，进入“查看质疑”页面，如下图：</w:t>
      </w:r>
    </w:p>
    <w:p w14:paraId="5D29A139">
      <w:pPr>
        <w:rPr>
          <w:rFonts w:hint="eastAsia" w:ascii="宋体" w:hAnsi="宋体" w:cs="宋体"/>
          <w:b/>
          <w:color w:val="auto"/>
          <w:highlight w:val="none"/>
        </w:rPr>
        <w:sectPr>
          <w:pgSz w:w="11910" w:h="16840"/>
          <w:pgMar w:top="1380" w:right="1500" w:bottom="1140" w:left="1680" w:header="595" w:footer="948" w:gutter="0"/>
          <w:cols w:space="720" w:num="1"/>
        </w:sectPr>
      </w:pPr>
      <w:r>
        <w:rPr>
          <w:rFonts w:hint="eastAsia" w:ascii="宋体" w:hAnsi="宋体" w:cs="宋体"/>
          <w:b/>
          <w:color w:val="auto"/>
          <w:highlight w:val="none"/>
        </w:rPr>
        <w:drawing>
          <wp:inline distT="0" distB="0" distL="114300" distR="114300">
            <wp:extent cx="5191125" cy="2392045"/>
            <wp:effectExtent l="0" t="0" r="0" b="0"/>
            <wp:docPr id="9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43"/>
                    <pic:cNvPicPr>
                      <a:picLocks noChangeAspect="1"/>
                    </pic:cNvPicPr>
                  </pic:nvPicPr>
                  <pic:blipFill>
                    <a:blip r:embed="rId62"/>
                    <a:stretch>
                      <a:fillRect/>
                    </a:stretch>
                  </pic:blipFill>
                  <pic:spPr>
                    <a:xfrm>
                      <a:off x="0" y="0"/>
                      <a:ext cx="5191125" cy="2392045"/>
                    </a:xfrm>
                    <a:prstGeom prst="rect">
                      <a:avLst/>
                    </a:prstGeom>
                    <a:noFill/>
                    <a:ln>
                      <a:noFill/>
                    </a:ln>
                  </pic:spPr>
                </pic:pic>
              </a:graphicData>
            </a:graphic>
          </wp:inline>
        </w:drawing>
      </w:r>
    </w:p>
    <w:p w14:paraId="5D835124">
      <w:pPr>
        <w:pStyle w:val="7"/>
        <w:numPr>
          <w:ilvl w:val="0"/>
          <w:numId w:val="2"/>
        </w:numPr>
        <w:spacing w:before="71"/>
        <w:ind w:left="120"/>
        <w:rPr>
          <w:rFonts w:hint="eastAsia" w:ascii="宋体" w:hAnsi="宋体" w:cs="宋体"/>
          <w:b/>
          <w:color w:val="auto"/>
          <w:highlight w:val="none"/>
        </w:rPr>
      </w:pPr>
      <w:r>
        <w:rPr>
          <w:rFonts w:hint="eastAsia" w:ascii="宋体" w:hAnsi="宋体" w:cs="宋体"/>
          <w:b/>
          <w:color w:val="auto"/>
          <w:highlight w:val="none"/>
        </w:rPr>
        <w:t>查看异议页面，点击“新增异议”按钮，进入新增异议页面，如下图：</w:t>
      </w:r>
    </w:p>
    <w:p w14:paraId="5D9BA29E">
      <w:pPr>
        <w:pStyle w:val="7"/>
        <w:spacing w:before="71"/>
        <w:ind w:left="120"/>
        <w:rPr>
          <w:rFonts w:hint="eastAsia" w:ascii="宋体" w:hAnsi="宋体" w:cs="宋体"/>
          <w:b/>
          <w:color w:val="auto"/>
          <w:highlight w:val="none"/>
        </w:rPr>
      </w:pPr>
      <w:r>
        <w:rPr>
          <w:rFonts w:hint="eastAsia" w:ascii="宋体" w:hAnsi="宋体" w:cs="宋体"/>
          <w:b/>
          <w:color w:val="auto"/>
          <w:highlight w:val="none"/>
        </w:rPr>
        <w:drawing>
          <wp:inline distT="0" distB="0" distL="114300" distR="114300">
            <wp:extent cx="5290185" cy="2466975"/>
            <wp:effectExtent l="0" t="0" r="5715" b="9525"/>
            <wp:docPr id="9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44"/>
                    <pic:cNvPicPr>
                      <a:picLocks noChangeAspect="1"/>
                    </pic:cNvPicPr>
                  </pic:nvPicPr>
                  <pic:blipFill>
                    <a:blip r:embed="rId63"/>
                    <a:stretch>
                      <a:fillRect/>
                    </a:stretch>
                  </pic:blipFill>
                  <pic:spPr>
                    <a:xfrm>
                      <a:off x="0" y="0"/>
                      <a:ext cx="5290185" cy="2466975"/>
                    </a:xfrm>
                    <a:prstGeom prst="rect">
                      <a:avLst/>
                    </a:prstGeom>
                    <a:noFill/>
                    <a:ln>
                      <a:noFill/>
                    </a:ln>
                  </pic:spPr>
                </pic:pic>
              </a:graphicData>
            </a:graphic>
          </wp:inline>
        </w:drawing>
      </w:r>
    </w:p>
    <w:p w14:paraId="6A18A5FF">
      <w:pPr>
        <w:pStyle w:val="7"/>
        <w:spacing w:before="80" w:after="105"/>
        <w:rPr>
          <w:rFonts w:hint="eastAsia" w:ascii="宋体" w:hAnsi="宋体" w:cs="宋体"/>
          <w:b/>
          <w:color w:val="auto"/>
          <w:sz w:val="21"/>
          <w:szCs w:val="21"/>
          <w:highlight w:val="none"/>
        </w:rPr>
      </w:pPr>
      <w:r>
        <w:rPr>
          <w:rFonts w:hint="eastAsia" w:ascii="宋体" w:hAnsi="宋体" w:cs="宋体"/>
          <w:b/>
          <w:color w:val="auto"/>
          <w:sz w:val="21"/>
          <w:szCs w:val="21"/>
          <w:highlight w:val="none"/>
        </w:rPr>
        <w:t>3、新增异议页面，选择异议类别，填写异议内容、依据和理由等内容，如下图：</w:t>
      </w:r>
    </w:p>
    <w:p w14:paraId="77F1680B">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309870" cy="2477135"/>
            <wp:effectExtent l="0" t="0" r="5080" b="18415"/>
            <wp:docPr id="10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45"/>
                    <pic:cNvPicPr>
                      <a:picLocks noChangeAspect="1"/>
                    </pic:cNvPicPr>
                  </pic:nvPicPr>
                  <pic:blipFill>
                    <a:blip r:embed="rId64"/>
                    <a:stretch>
                      <a:fillRect/>
                    </a:stretch>
                  </pic:blipFill>
                  <pic:spPr>
                    <a:xfrm>
                      <a:off x="0" y="0"/>
                      <a:ext cx="5309870" cy="2477135"/>
                    </a:xfrm>
                    <a:prstGeom prst="rect">
                      <a:avLst/>
                    </a:prstGeom>
                    <a:noFill/>
                    <a:ln>
                      <a:noFill/>
                    </a:ln>
                  </pic:spPr>
                </pic:pic>
              </a:graphicData>
            </a:graphic>
          </wp:inline>
        </w:drawing>
      </w:r>
    </w:p>
    <w:p w14:paraId="325C7F3E">
      <w:pPr>
        <w:pStyle w:val="7"/>
        <w:spacing w:before="92"/>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注：页面中异议类别添加时有条件如下：</w:t>
      </w:r>
    </w:p>
    <w:p w14:paraId="32DBAEFA">
      <w:pPr>
        <w:pStyle w:val="23"/>
        <w:numPr>
          <w:ilvl w:val="3"/>
          <w:numId w:val="4"/>
        </w:numPr>
        <w:tabs>
          <w:tab w:val="left" w:pos="959"/>
          <w:tab w:val="left" w:pos="960"/>
        </w:tabs>
        <w:autoSpaceDE w:val="0"/>
        <w:autoSpaceDN w:val="0"/>
        <w:spacing w:before="43"/>
        <w:ind w:firstLineChars="0"/>
        <w:jc w:val="left"/>
        <w:rPr>
          <w:rFonts w:hint="eastAsia" w:ascii="宋体" w:hAnsi="宋体" w:cs="宋体"/>
          <w:b/>
          <w:color w:val="auto"/>
          <w:szCs w:val="21"/>
          <w:highlight w:val="none"/>
        </w:rPr>
      </w:pPr>
      <w:r>
        <w:rPr>
          <w:rFonts w:hint="eastAsia" w:ascii="宋体" w:hAnsi="宋体" w:cs="宋体"/>
          <w:b/>
          <w:color w:val="auto"/>
          <w:szCs w:val="21"/>
          <w:highlight w:val="none"/>
        </w:rPr>
        <w:t>招标文件：</w:t>
      </w:r>
    </w:p>
    <w:p w14:paraId="072E636F">
      <w:pPr>
        <w:pStyle w:val="7"/>
        <w:spacing w:before="120"/>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①、招标文件审核通过。</w:t>
      </w:r>
    </w:p>
    <w:p w14:paraId="013D9E01">
      <w:pPr>
        <w:pStyle w:val="7"/>
        <w:spacing w:before="1" w:line="417" w:lineRule="auto"/>
        <w:ind w:left="120" w:right="299" w:firstLine="420"/>
        <w:rPr>
          <w:rFonts w:hint="eastAsia" w:ascii="宋体" w:hAnsi="宋体" w:cs="宋体"/>
          <w:b/>
          <w:color w:val="auto"/>
          <w:sz w:val="21"/>
          <w:szCs w:val="21"/>
          <w:highlight w:val="none"/>
        </w:rPr>
      </w:pPr>
      <w:r>
        <w:rPr>
          <w:rFonts w:hint="eastAsia" w:ascii="宋体" w:hAnsi="宋体" w:cs="宋体"/>
          <w:b/>
          <w:color w:val="auto"/>
          <w:spacing w:val="-6"/>
          <w:w w:val="99"/>
          <w:sz w:val="21"/>
          <w:szCs w:val="21"/>
          <w:highlight w:val="none"/>
        </w:rPr>
        <w:t>②、投标截止时间为“此处获取的是开标时间”，不符合相关规定，不能对招标文件提</w:t>
      </w:r>
      <w:r>
        <w:rPr>
          <w:rFonts w:hint="eastAsia" w:ascii="宋体" w:hAnsi="宋体" w:cs="宋体"/>
          <w:b/>
          <w:color w:val="auto"/>
          <w:spacing w:val="-10"/>
          <w:w w:val="95"/>
          <w:sz w:val="21"/>
          <w:szCs w:val="21"/>
          <w:highlight w:val="none"/>
        </w:rPr>
        <w:t xml:space="preserve">出异议！根据《中华人民共和国招标投标法实施条例》第二十二条规定：对招标文件有异议   </w:t>
      </w:r>
      <w:r>
        <w:rPr>
          <w:rFonts w:hint="eastAsia" w:ascii="宋体" w:hAnsi="宋体" w:cs="宋体"/>
          <w:b/>
          <w:color w:val="auto"/>
          <w:spacing w:val="-14"/>
          <w:sz w:val="21"/>
          <w:szCs w:val="21"/>
          <w:highlight w:val="none"/>
        </w:rPr>
        <w:t xml:space="preserve">的，应当在投标截止时间 </w:t>
      </w:r>
      <w:r>
        <w:rPr>
          <w:rFonts w:hint="eastAsia" w:ascii="宋体" w:hAnsi="宋体" w:cs="宋体"/>
          <w:b/>
          <w:color w:val="auto"/>
          <w:sz w:val="21"/>
          <w:szCs w:val="21"/>
          <w:highlight w:val="none"/>
        </w:rPr>
        <w:t>10</w:t>
      </w:r>
      <w:r>
        <w:rPr>
          <w:rFonts w:hint="eastAsia" w:ascii="宋体" w:hAnsi="宋体" w:cs="宋体"/>
          <w:b/>
          <w:color w:val="auto"/>
          <w:spacing w:val="-10"/>
          <w:sz w:val="21"/>
          <w:szCs w:val="21"/>
          <w:highlight w:val="none"/>
        </w:rPr>
        <w:t xml:space="preserve"> 日前提出。</w:t>
      </w:r>
    </w:p>
    <w:p w14:paraId="63FC486A">
      <w:pPr>
        <w:pStyle w:val="7"/>
        <w:spacing w:line="269" w:lineRule="exact"/>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③、大于 10 日，按天算，比如 12 号截止，2 号是不行的，1 号异议才行。</w:t>
      </w:r>
    </w:p>
    <w:p w14:paraId="5207892C">
      <w:pPr>
        <w:pStyle w:val="23"/>
        <w:numPr>
          <w:ilvl w:val="3"/>
          <w:numId w:val="4"/>
        </w:numPr>
        <w:tabs>
          <w:tab w:val="left" w:pos="960"/>
        </w:tabs>
        <w:autoSpaceDE w:val="0"/>
        <w:autoSpaceDN w:val="0"/>
        <w:spacing w:before="122"/>
        <w:ind w:firstLineChars="0"/>
        <w:rPr>
          <w:rFonts w:hint="eastAsia" w:ascii="宋体" w:hAnsi="宋体" w:cs="宋体"/>
          <w:b/>
          <w:color w:val="auto"/>
          <w:szCs w:val="21"/>
          <w:highlight w:val="none"/>
        </w:rPr>
      </w:pPr>
      <w:r>
        <w:rPr>
          <w:rFonts w:hint="eastAsia" w:ascii="宋体" w:hAnsi="宋体" w:cs="宋体"/>
          <w:b/>
          <w:color w:val="auto"/>
          <w:szCs w:val="21"/>
          <w:highlight w:val="none"/>
        </w:rPr>
        <w:t>开标过程：开标时间已到。</w:t>
      </w:r>
    </w:p>
    <w:p w14:paraId="73E46BD6">
      <w:pPr>
        <w:pStyle w:val="23"/>
        <w:numPr>
          <w:ilvl w:val="3"/>
          <w:numId w:val="4"/>
        </w:numPr>
        <w:tabs>
          <w:tab w:val="left" w:pos="960"/>
        </w:tabs>
        <w:autoSpaceDE w:val="0"/>
        <w:autoSpaceDN w:val="0"/>
        <w:spacing w:before="43"/>
        <w:ind w:firstLineChars="0"/>
        <w:rPr>
          <w:rFonts w:hint="eastAsia" w:ascii="宋体" w:hAnsi="宋体" w:cs="宋体"/>
          <w:b/>
          <w:color w:val="auto"/>
          <w:szCs w:val="21"/>
          <w:highlight w:val="none"/>
        </w:rPr>
      </w:pPr>
      <w:r>
        <w:rPr>
          <w:rFonts w:hint="eastAsia" w:ascii="宋体" w:hAnsi="宋体" w:cs="宋体"/>
          <w:b/>
          <w:color w:val="auto"/>
          <w:szCs w:val="21"/>
          <w:highlight w:val="none"/>
        </w:rPr>
        <w:t>评标结果</w:t>
      </w:r>
    </w:p>
    <w:p w14:paraId="1D298FAB">
      <w:pPr>
        <w:pStyle w:val="7"/>
        <w:spacing w:before="119"/>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①、中标候选人公示审核通过。</w:t>
      </w:r>
    </w:p>
    <w:p w14:paraId="77F3B360">
      <w:pPr>
        <w:pStyle w:val="7"/>
        <w:spacing w:line="417" w:lineRule="auto"/>
        <w:ind w:left="120" w:right="299" w:firstLine="420"/>
        <w:rPr>
          <w:rFonts w:hint="eastAsia" w:ascii="宋体" w:hAnsi="宋体" w:cs="宋体"/>
          <w:b/>
          <w:color w:val="auto"/>
          <w:sz w:val="21"/>
          <w:szCs w:val="21"/>
          <w:highlight w:val="none"/>
        </w:rPr>
      </w:pPr>
      <w:r>
        <w:rPr>
          <w:rFonts w:hint="eastAsia" w:ascii="宋体" w:hAnsi="宋体" w:cs="宋体"/>
          <w:b/>
          <w:color w:val="auto"/>
          <w:spacing w:val="-5"/>
          <w:w w:val="99"/>
          <w:sz w:val="21"/>
          <w:szCs w:val="21"/>
          <w:highlight w:val="none"/>
        </w:rPr>
        <w:t>②、中标候选人公示期为“此处获取的是中标候选人公示中设置的公示时间”，不符合</w:t>
      </w:r>
      <w:r>
        <w:rPr>
          <w:rFonts w:hint="eastAsia" w:ascii="宋体" w:hAnsi="宋体" w:cs="宋体"/>
          <w:b/>
          <w:color w:val="auto"/>
          <w:spacing w:val="-10"/>
          <w:w w:val="95"/>
          <w:sz w:val="21"/>
          <w:szCs w:val="21"/>
          <w:highlight w:val="none"/>
        </w:rPr>
        <w:t>相关规定，不能对评标结果提出异议！根据《中华人民共和国招标投标法实施条例》第二十</w:t>
      </w:r>
      <w:r>
        <w:rPr>
          <w:rFonts w:hint="eastAsia" w:ascii="宋体" w:hAnsi="宋体" w:cs="宋体"/>
          <w:b/>
          <w:color w:val="auto"/>
          <w:sz w:val="21"/>
          <w:szCs w:val="21"/>
          <w:highlight w:val="none"/>
        </w:rPr>
        <w:t>二条规定：对评标结果有异议的，应当在中标候选人公示期间提出。</w:t>
      </w:r>
    </w:p>
    <w:p w14:paraId="12823439">
      <w:pPr>
        <w:pStyle w:val="7"/>
        <w:spacing w:before="122" w:line="278" w:lineRule="auto"/>
        <w:ind w:left="120" w:right="194" w:firstLine="420"/>
        <w:rPr>
          <w:rFonts w:hint="eastAsia" w:ascii="宋体" w:hAnsi="宋体" w:cs="宋体"/>
          <w:b/>
          <w:color w:val="auto"/>
          <w:sz w:val="21"/>
          <w:szCs w:val="21"/>
          <w:highlight w:val="none"/>
        </w:rPr>
      </w:pPr>
      <w:r>
        <w:rPr>
          <w:rFonts w:hint="eastAsia" w:ascii="宋体" w:hAnsi="宋体" w:cs="宋体"/>
          <w:b/>
          <w:color w:val="auto"/>
          <w:w w:val="95"/>
          <w:sz w:val="21"/>
          <w:szCs w:val="21"/>
          <w:highlight w:val="none"/>
        </w:rPr>
        <w:t>4</w:t>
      </w:r>
      <w:r>
        <w:rPr>
          <w:rFonts w:hint="eastAsia" w:ascii="宋体" w:hAnsi="宋体" w:cs="宋体"/>
          <w:b/>
          <w:color w:val="auto"/>
          <w:spacing w:val="-10"/>
          <w:w w:val="95"/>
          <w:sz w:val="21"/>
          <w:szCs w:val="21"/>
          <w:highlight w:val="none"/>
        </w:rPr>
        <w:t xml:space="preserve">、填写完信息，点击“提交信息”按钮，弹出的意见框中输入意见，点击“确认提交”  </w:t>
      </w:r>
      <w:r>
        <w:rPr>
          <w:rFonts w:hint="eastAsia" w:ascii="宋体" w:hAnsi="宋体" w:cs="宋体"/>
          <w:b/>
          <w:color w:val="auto"/>
          <w:spacing w:val="-10"/>
          <w:sz w:val="21"/>
          <w:szCs w:val="21"/>
          <w:highlight w:val="none"/>
        </w:rPr>
        <w:t>按钮，提交给招标人。如下图：</w:t>
      </w:r>
    </w:p>
    <w:p w14:paraId="487DE6BD">
      <w:pPr>
        <w:pStyle w:val="7"/>
        <w:rPr>
          <w:rFonts w:hint="eastAsia" w:ascii="宋体" w:hAnsi="宋体" w:cs="宋体"/>
          <w:b/>
          <w:color w:val="auto"/>
          <w:sz w:val="20"/>
          <w:highlight w:val="none"/>
        </w:rPr>
      </w:pPr>
    </w:p>
    <w:p w14:paraId="33EAA59E">
      <w:pPr>
        <w:pStyle w:val="7"/>
        <w:rPr>
          <w:rFonts w:hint="eastAsia" w:ascii="宋体" w:hAnsi="宋体" w:cs="宋体"/>
          <w:b/>
          <w:color w:val="auto"/>
          <w:sz w:val="20"/>
          <w:highlight w:val="none"/>
        </w:rPr>
      </w:pPr>
    </w:p>
    <w:p w14:paraId="3A950FEA">
      <w:pPr>
        <w:pStyle w:val="7"/>
        <w:rPr>
          <w:rFonts w:hint="eastAsia" w:ascii="宋体" w:hAnsi="宋体" w:cs="宋体"/>
          <w:b/>
          <w:color w:val="auto"/>
          <w:sz w:val="20"/>
          <w:highlight w:val="none"/>
        </w:rPr>
      </w:pPr>
      <w:r>
        <w:rPr>
          <w:rFonts w:hint="eastAsia" w:ascii="宋体" w:hAnsi="宋体" w:cs="宋体"/>
          <w:b/>
          <w:color w:val="auto"/>
          <w:sz w:val="21"/>
          <w:szCs w:val="21"/>
          <w:highlight w:val="none"/>
        </w:rPr>
        <w:drawing>
          <wp:inline distT="0" distB="0" distL="114300" distR="114300">
            <wp:extent cx="5225415" cy="2303780"/>
            <wp:effectExtent l="0" t="0" r="13335" b="1270"/>
            <wp:docPr id="101"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46"/>
                    <pic:cNvPicPr>
                      <a:picLocks noChangeAspect="1"/>
                    </pic:cNvPicPr>
                  </pic:nvPicPr>
                  <pic:blipFill>
                    <a:blip r:embed="rId65"/>
                    <a:stretch>
                      <a:fillRect/>
                    </a:stretch>
                  </pic:blipFill>
                  <pic:spPr>
                    <a:xfrm>
                      <a:off x="0" y="0"/>
                      <a:ext cx="5225415" cy="2303780"/>
                    </a:xfrm>
                    <a:prstGeom prst="rect">
                      <a:avLst/>
                    </a:prstGeom>
                    <a:noFill/>
                    <a:ln>
                      <a:noFill/>
                    </a:ln>
                  </pic:spPr>
                </pic:pic>
              </a:graphicData>
            </a:graphic>
          </wp:inline>
        </w:drawing>
      </w:r>
    </w:p>
    <w:p w14:paraId="701B9FEB">
      <w:pPr>
        <w:pStyle w:val="7"/>
        <w:spacing w:before="9"/>
        <w:rPr>
          <w:rFonts w:hint="eastAsia" w:ascii="宋体" w:hAnsi="宋体" w:cs="宋体"/>
          <w:b/>
          <w:color w:val="auto"/>
          <w:sz w:val="23"/>
          <w:highlight w:val="none"/>
        </w:rPr>
      </w:pPr>
    </w:p>
    <w:p w14:paraId="173ADF37">
      <w:pPr>
        <w:tabs>
          <w:tab w:val="left" w:pos="574"/>
        </w:tabs>
        <w:autoSpaceDE w:val="0"/>
        <w:autoSpaceDN w:val="0"/>
        <w:spacing w:before="120" w:after="120"/>
        <w:ind w:left="119"/>
        <w:rPr>
          <w:rFonts w:hint="eastAsia" w:ascii="宋体" w:hAnsi="宋体" w:cs="宋体"/>
          <w:b/>
          <w:color w:val="auto"/>
          <w:highlight w:val="none"/>
        </w:rPr>
      </w:pPr>
      <w:r>
        <w:rPr>
          <w:rFonts w:hint="eastAsia" w:ascii="宋体" w:hAnsi="宋体" w:cs="宋体"/>
          <w:b/>
          <w:color w:val="auto"/>
          <w:spacing w:val="-12"/>
          <w:highlight w:val="none"/>
        </w:rPr>
        <w:t>4.3、 中标项目</w:t>
      </w:r>
    </w:p>
    <w:p w14:paraId="23FE0B15">
      <w:pPr>
        <w:tabs>
          <w:tab w:val="left" w:pos="828"/>
        </w:tabs>
        <w:autoSpaceDE w:val="0"/>
        <w:autoSpaceDN w:val="0"/>
        <w:spacing w:before="1"/>
        <w:rPr>
          <w:rFonts w:hint="eastAsia" w:ascii="宋体" w:hAnsi="宋体" w:cs="宋体"/>
          <w:b/>
          <w:color w:val="auto"/>
          <w:sz w:val="24"/>
          <w:highlight w:val="none"/>
        </w:rPr>
      </w:pPr>
      <w:r>
        <w:rPr>
          <w:rFonts w:hint="eastAsia" w:ascii="宋体" w:hAnsi="宋体" w:cs="宋体"/>
          <w:b/>
          <w:color w:val="auto"/>
          <w:spacing w:val="12"/>
          <w:sz w:val="24"/>
          <w:highlight w:val="none"/>
        </w:rPr>
        <w:t>4.3.1、 成交通知书查看</w:t>
      </w:r>
    </w:p>
    <w:p w14:paraId="3E3F0BC4">
      <w:pPr>
        <w:pStyle w:val="7"/>
        <w:spacing w:before="5"/>
        <w:rPr>
          <w:rFonts w:hint="eastAsia" w:ascii="宋体" w:hAnsi="宋体" w:cs="宋体"/>
          <w:b/>
          <w:color w:val="auto"/>
          <w:sz w:val="25"/>
          <w:highlight w:val="none"/>
        </w:rPr>
      </w:pPr>
    </w:p>
    <w:p w14:paraId="25B54ADA">
      <w:pPr>
        <w:pStyle w:val="7"/>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1、点击“成交通知书查看”菜单，进入成交通知书查看页面，如下图。</w:t>
      </w:r>
    </w:p>
    <w:p w14:paraId="6C6F7D2D">
      <w:pPr>
        <w:spacing w:before="120" w:beforeLines="50" w:after="120" w:afterLines="50" w:line="360" w:lineRule="auto"/>
        <w:jc w:val="center"/>
        <w:rPr>
          <w:rFonts w:hint="eastAsia" w:ascii="宋体" w:hAnsi="宋体" w:cs="宋体"/>
          <w:color w:val="auto"/>
          <w:sz w:val="44"/>
          <w:szCs w:val="44"/>
          <w:highlight w:val="none"/>
        </w:rPr>
      </w:pPr>
      <w:r>
        <w:rPr>
          <w:rFonts w:hint="eastAsia" w:ascii="宋体" w:hAnsi="宋体" w:cs="宋体"/>
          <w:b/>
          <w:color w:val="auto"/>
          <w:highlight w:val="none"/>
        </w:rPr>
        <w:drawing>
          <wp:inline distT="0" distB="0" distL="114300" distR="114300">
            <wp:extent cx="5191125" cy="2392045"/>
            <wp:effectExtent l="0" t="0" r="9525" b="8255"/>
            <wp:docPr id="102"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47"/>
                    <pic:cNvPicPr>
                      <a:picLocks noChangeAspect="1"/>
                    </pic:cNvPicPr>
                  </pic:nvPicPr>
                  <pic:blipFill>
                    <a:blip r:embed="rId66"/>
                    <a:stretch>
                      <a:fillRect/>
                    </a:stretch>
                  </pic:blipFill>
                  <pic:spPr>
                    <a:xfrm>
                      <a:off x="0" y="0"/>
                      <a:ext cx="5191125" cy="2392045"/>
                    </a:xfrm>
                    <a:prstGeom prst="rect">
                      <a:avLst/>
                    </a:prstGeom>
                    <a:noFill/>
                    <a:ln>
                      <a:noFill/>
                    </a:ln>
                  </pic:spPr>
                </pic:pic>
              </a:graphicData>
            </a:graphic>
          </wp:inline>
        </w:drawing>
      </w:r>
    </w:p>
    <w:p w14:paraId="403E1960">
      <w:pPr>
        <w:pStyle w:val="4"/>
        <w:spacing w:before="120" w:after="120"/>
        <w:ind w:firstLine="0" w:firstLineChars="0"/>
        <w:rPr>
          <w:rFonts w:hint="eastAsia" w:ascii="宋体" w:hAnsi="宋体" w:eastAsia="宋体" w:cs="宋体"/>
          <w:color w:val="auto"/>
          <w:highlight w:val="none"/>
        </w:rPr>
      </w:pPr>
    </w:p>
    <w:p w14:paraId="789E8286">
      <w:pPr>
        <w:rPr>
          <w:color w:val="auto"/>
          <w:highlight w:val="none"/>
        </w:rPr>
      </w:pPr>
    </w:p>
    <w:p w14:paraId="7A70C255">
      <w:pPr>
        <w:pStyle w:val="5"/>
        <w:rPr>
          <w:color w:val="auto"/>
          <w:highlight w:val="none"/>
        </w:rPr>
      </w:pPr>
    </w:p>
    <w:p w14:paraId="19D56C97">
      <w:pPr>
        <w:spacing w:before="120" w:beforeLines="50" w:after="120" w:afterLines="50" w:line="360" w:lineRule="auto"/>
        <w:ind w:firstLine="3960" w:firstLineChars="900"/>
        <w:rPr>
          <w:rFonts w:hint="eastAsia" w:ascii="宋体" w:hAnsi="宋体" w:eastAsia="宋体" w:cs="宋体"/>
          <w:color w:val="auto"/>
          <w:sz w:val="44"/>
          <w:szCs w:val="44"/>
          <w:highlight w:val="none"/>
        </w:rPr>
      </w:pPr>
      <w:bookmarkStart w:id="2" w:name="_Toc15254"/>
    </w:p>
    <w:p w14:paraId="39D32F5F">
      <w:pPr>
        <w:spacing w:before="120" w:beforeLines="50" w:after="120" w:afterLines="50" w:line="360" w:lineRule="auto"/>
        <w:ind w:firstLine="3960" w:firstLineChars="900"/>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目  录</w:t>
      </w:r>
    </w:p>
    <w:p w14:paraId="61556262">
      <w:pPr>
        <w:numPr>
          <w:ilvl w:val="0"/>
          <w:numId w:val="5"/>
        </w:numPr>
        <w:spacing w:before="120" w:beforeLines="50" w:after="0" w:line="276" w:lineRule="auto"/>
        <w:rPr>
          <w:rFonts w:hint="eastAsia" w:ascii="宋体" w:hAnsi="宋体" w:eastAsia="宋体" w:cs="宋体"/>
          <w:color w:val="auto"/>
          <w:sz w:val="30"/>
          <w:szCs w:val="20"/>
          <w:highlight w:val="none"/>
        </w:rPr>
      </w:pPr>
      <w:r>
        <w:rPr>
          <w:rFonts w:hint="eastAsia" w:ascii="宋体" w:hAnsi="宋体" w:eastAsia="宋体" w:cs="宋体"/>
          <w:color w:val="auto"/>
          <w:sz w:val="30"/>
          <w:szCs w:val="20"/>
          <w:highlight w:val="none"/>
        </w:rPr>
        <w:t>公开招标采购公告</w:t>
      </w:r>
    </w:p>
    <w:p w14:paraId="76011162">
      <w:pPr>
        <w:numPr>
          <w:ilvl w:val="0"/>
          <w:numId w:val="5"/>
        </w:numPr>
        <w:spacing w:before="120" w:beforeLines="50" w:line="276" w:lineRule="auto"/>
        <w:rPr>
          <w:rFonts w:hint="eastAsia" w:ascii="宋体" w:hAnsi="宋体" w:eastAsia="宋体" w:cs="宋体"/>
          <w:color w:val="auto"/>
          <w:sz w:val="30"/>
          <w:szCs w:val="20"/>
          <w:highlight w:val="none"/>
        </w:rPr>
      </w:pPr>
      <w:r>
        <w:rPr>
          <w:rFonts w:hint="eastAsia" w:ascii="宋体" w:hAnsi="宋体" w:eastAsia="宋体" w:cs="宋体"/>
          <w:color w:val="auto"/>
          <w:sz w:val="30"/>
          <w:szCs w:val="20"/>
          <w:highlight w:val="none"/>
        </w:rPr>
        <w:t>招标需求</w:t>
      </w:r>
    </w:p>
    <w:p w14:paraId="2464FA99">
      <w:pPr>
        <w:numPr>
          <w:ilvl w:val="0"/>
          <w:numId w:val="5"/>
        </w:numPr>
        <w:spacing w:before="120" w:beforeLines="50" w:line="276" w:lineRule="auto"/>
        <w:rPr>
          <w:rFonts w:hint="eastAsia" w:ascii="宋体" w:hAnsi="宋体" w:eastAsia="宋体" w:cs="宋体"/>
          <w:color w:val="auto"/>
          <w:sz w:val="30"/>
          <w:szCs w:val="20"/>
          <w:highlight w:val="none"/>
        </w:rPr>
      </w:pPr>
      <w:r>
        <w:rPr>
          <w:rFonts w:hint="eastAsia" w:ascii="宋体" w:hAnsi="宋体" w:eastAsia="宋体" w:cs="宋体"/>
          <w:color w:val="auto"/>
          <w:sz w:val="30"/>
          <w:szCs w:val="20"/>
          <w:highlight w:val="none"/>
        </w:rPr>
        <w:t>投标人须知</w:t>
      </w:r>
    </w:p>
    <w:p w14:paraId="02632216">
      <w:pPr>
        <w:numPr>
          <w:ilvl w:val="0"/>
          <w:numId w:val="5"/>
        </w:numPr>
        <w:spacing w:before="120" w:beforeLines="50" w:line="276" w:lineRule="auto"/>
        <w:rPr>
          <w:rFonts w:hint="eastAsia" w:ascii="宋体" w:hAnsi="宋体" w:eastAsia="宋体" w:cs="宋体"/>
          <w:color w:val="auto"/>
          <w:sz w:val="30"/>
          <w:szCs w:val="20"/>
          <w:highlight w:val="none"/>
        </w:rPr>
      </w:pPr>
      <w:r>
        <w:rPr>
          <w:rFonts w:hint="eastAsia" w:ascii="宋体" w:hAnsi="宋体" w:eastAsia="宋体" w:cs="宋体"/>
          <w:color w:val="auto"/>
          <w:sz w:val="30"/>
          <w:szCs w:val="20"/>
          <w:highlight w:val="none"/>
        </w:rPr>
        <w:t>评标办法及评分标准</w:t>
      </w:r>
    </w:p>
    <w:p w14:paraId="66F12DEA">
      <w:pPr>
        <w:numPr>
          <w:ilvl w:val="0"/>
          <w:numId w:val="5"/>
        </w:numPr>
        <w:spacing w:before="120" w:beforeLines="50" w:line="276" w:lineRule="auto"/>
        <w:rPr>
          <w:rFonts w:hint="eastAsia" w:ascii="宋体" w:hAnsi="宋体" w:eastAsia="宋体" w:cs="宋体"/>
          <w:color w:val="auto"/>
          <w:sz w:val="30"/>
          <w:szCs w:val="20"/>
          <w:highlight w:val="none"/>
        </w:rPr>
      </w:pPr>
      <w:r>
        <w:rPr>
          <w:rFonts w:hint="eastAsia" w:ascii="宋体" w:hAnsi="宋体" w:eastAsia="宋体" w:cs="宋体"/>
          <w:color w:val="auto"/>
          <w:sz w:val="30"/>
          <w:szCs w:val="20"/>
          <w:highlight w:val="none"/>
        </w:rPr>
        <w:t>采购合同主要条款</w:t>
      </w:r>
    </w:p>
    <w:p w14:paraId="3D95017E">
      <w:pPr>
        <w:numPr>
          <w:ilvl w:val="0"/>
          <w:numId w:val="5"/>
        </w:numPr>
        <w:spacing w:before="120" w:beforeLines="50" w:line="276" w:lineRule="auto"/>
        <w:rPr>
          <w:rFonts w:hint="eastAsia" w:ascii="宋体" w:hAnsi="宋体" w:eastAsia="宋体" w:cs="宋体"/>
          <w:color w:val="auto"/>
          <w:sz w:val="30"/>
          <w:szCs w:val="20"/>
          <w:highlight w:val="none"/>
        </w:rPr>
        <w:sectPr>
          <w:footerReference r:id="rId11" w:type="first"/>
          <w:footerReference r:id="rId10" w:type="default"/>
          <w:pgSz w:w="11906" w:h="16838"/>
          <w:pgMar w:top="1474" w:right="1797" w:bottom="1247" w:left="1797" w:header="851" w:footer="851" w:gutter="0"/>
          <w:cols w:space="720" w:num="1"/>
          <w:titlePg/>
          <w:docGrid w:linePitch="312" w:charSpace="0"/>
        </w:sectPr>
      </w:pPr>
      <w:r>
        <w:rPr>
          <w:rFonts w:hint="eastAsia" w:ascii="宋体" w:hAnsi="宋体" w:eastAsia="宋体" w:cs="宋体"/>
          <w:color w:val="auto"/>
          <w:sz w:val="30"/>
          <w:szCs w:val="20"/>
          <w:highlight w:val="none"/>
        </w:rPr>
        <w:t>投标文件格式</w:t>
      </w:r>
    </w:p>
    <w:p w14:paraId="161821D3">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firstLine="0" w:firstLineChars="0"/>
        <w:jc w:val="center"/>
        <w:textAlignment w:val="auto"/>
        <w:outlineLvl w:val="0"/>
        <w:rPr>
          <w:rFonts w:hint="eastAsia" w:ascii="宋体" w:hAnsi="宋体" w:cs="Arial"/>
          <w:b/>
          <w:bCs/>
          <w:color w:val="auto"/>
          <w:sz w:val="24"/>
          <w:szCs w:val="20"/>
          <w:highlight w:val="none"/>
        </w:rPr>
      </w:pPr>
      <w:r>
        <w:rPr>
          <w:rFonts w:hint="eastAsia" w:ascii="宋体" w:hAnsi="宋体"/>
          <w:b/>
          <w:bCs/>
          <w:color w:val="auto"/>
          <w:sz w:val="30"/>
          <w:szCs w:val="30"/>
          <w:highlight w:val="none"/>
        </w:rPr>
        <w:t>第一章 公开招标采购公告</w:t>
      </w:r>
      <w:bookmarkEnd w:id="2"/>
    </w:p>
    <w:p w14:paraId="4F74C738">
      <w:pPr>
        <w:keepNext w:val="0"/>
        <w:keepLines w:val="0"/>
        <w:pageBreakBefore w:val="0"/>
        <w:kinsoku/>
        <w:wordWrap/>
        <w:overflowPunct/>
        <w:topLinePunct w:val="0"/>
        <w:autoSpaceDE/>
        <w:autoSpaceDN/>
        <w:bidi w:val="0"/>
        <w:adjustRightInd/>
        <w:snapToGrid w:val="0"/>
        <w:spacing w:line="360" w:lineRule="exact"/>
        <w:ind w:firstLine="482" w:firstLineChars="200"/>
        <w:textAlignment w:val="auto"/>
        <w:rPr>
          <w:rFonts w:hint="eastAsia" w:ascii="宋体" w:hAnsi="宋体" w:cs="Arial"/>
          <w:color w:val="auto"/>
          <w:sz w:val="24"/>
          <w:szCs w:val="20"/>
          <w:highlight w:val="none"/>
        </w:rPr>
      </w:pPr>
      <w:r>
        <w:rPr>
          <w:rFonts w:hint="eastAsia" w:ascii="宋体" w:hAnsi="宋体" w:cs="Arial"/>
          <w:b/>
          <w:bCs/>
          <w:color w:val="auto"/>
          <w:sz w:val="24"/>
          <w:szCs w:val="20"/>
          <w:highlight w:val="none"/>
        </w:rPr>
        <w:t>本项目为全流程电子招投标项目【采用远程不见面开标方式】</w:t>
      </w:r>
    </w:p>
    <w:p w14:paraId="71E3891D">
      <w:pPr>
        <w:keepNext w:val="0"/>
        <w:keepLines w:val="0"/>
        <w:pageBreakBefore w:val="0"/>
        <w:kinsoku/>
        <w:wordWrap/>
        <w:overflowPunct/>
        <w:topLinePunct w:val="0"/>
        <w:autoSpaceDE/>
        <w:autoSpaceDN/>
        <w:bidi w:val="0"/>
        <w:adjustRightInd/>
        <w:snapToGrid w:val="0"/>
        <w:spacing w:line="360" w:lineRule="exact"/>
        <w:ind w:firstLine="482" w:firstLineChars="200"/>
        <w:textAlignment w:val="auto"/>
        <w:rPr>
          <w:rFonts w:hint="eastAsia" w:ascii="宋体" w:hAnsi="宋体"/>
          <w:color w:val="auto"/>
          <w:kern w:val="0"/>
          <w:sz w:val="24"/>
          <w:highlight w:val="none"/>
        </w:rPr>
      </w:pPr>
      <w:r>
        <w:rPr>
          <w:rFonts w:hint="eastAsia" w:ascii="宋体" w:hAnsi="宋体" w:cs="Arial"/>
          <w:b/>
          <w:bCs/>
          <w:color w:val="auto"/>
          <w:sz w:val="24"/>
          <w:szCs w:val="20"/>
          <w:highlight w:val="none"/>
          <w:lang w:eastAsia="zh-CN"/>
        </w:rPr>
        <w:t>浙江省房地产管理咨询有限公司</w:t>
      </w:r>
      <w:r>
        <w:rPr>
          <w:rFonts w:ascii="宋体" w:hAnsi="宋体" w:cs="Arial"/>
          <w:color w:val="auto"/>
          <w:sz w:val="24"/>
          <w:szCs w:val="20"/>
          <w:highlight w:val="none"/>
        </w:rPr>
        <w:t>受</w:t>
      </w:r>
      <w:r>
        <w:rPr>
          <w:rFonts w:hint="eastAsia" w:ascii="宋体" w:hAnsi="宋体"/>
          <w:b/>
          <w:color w:val="auto"/>
          <w:kern w:val="0"/>
          <w:sz w:val="24"/>
          <w:szCs w:val="24"/>
          <w:highlight w:val="none"/>
          <w:lang w:eastAsia="zh-CN"/>
        </w:rPr>
        <w:t>德清县德源旅游发展有限公司</w:t>
      </w:r>
      <w:r>
        <w:rPr>
          <w:rFonts w:hint="eastAsia" w:ascii="宋体" w:hAnsi="宋体"/>
          <w:color w:val="auto"/>
          <w:kern w:val="0"/>
          <w:sz w:val="24"/>
          <w:highlight w:val="none"/>
        </w:rPr>
        <w:t>的委托就</w:t>
      </w:r>
      <w:r>
        <w:rPr>
          <w:rFonts w:hint="eastAsia" w:ascii="宋体" w:hAnsi="宋体"/>
          <w:b/>
          <w:color w:val="auto"/>
          <w:kern w:val="0"/>
          <w:sz w:val="24"/>
          <w:highlight w:val="none"/>
          <w:lang w:eastAsia="zh-CN"/>
        </w:rPr>
        <w:t>江南之源文化遗址公园德清窑空气治理项目</w:t>
      </w:r>
      <w:r>
        <w:rPr>
          <w:rFonts w:hint="eastAsia" w:ascii="宋体" w:hAnsi="宋体"/>
          <w:color w:val="auto"/>
          <w:kern w:val="0"/>
          <w:sz w:val="24"/>
          <w:highlight w:val="none"/>
        </w:rPr>
        <w:t>进行公开招标，欢迎国内合格的供应商前来投标。</w:t>
      </w:r>
    </w:p>
    <w:p w14:paraId="24FC3D29">
      <w:pPr>
        <w:keepNext w:val="0"/>
        <w:keepLines w:val="0"/>
        <w:pageBreakBefore w:val="0"/>
        <w:widowControl/>
        <w:numPr>
          <w:ilvl w:val="-1"/>
          <w:numId w:val="0"/>
        </w:numPr>
        <w:shd w:val="clear" w:fill="FFFFFF"/>
        <w:kinsoku/>
        <w:wordWrap/>
        <w:overflowPunct/>
        <w:topLinePunct w:val="0"/>
        <w:autoSpaceDE/>
        <w:autoSpaceDN/>
        <w:bidi w:val="0"/>
        <w:adjustRightInd/>
        <w:snapToGrid/>
        <w:spacing w:line="360" w:lineRule="exact"/>
        <w:jc w:val="left"/>
        <w:textAlignment w:val="auto"/>
        <w:rPr>
          <w:rFonts w:hint="eastAsia" w:ascii="宋体" w:hAnsi="宋体"/>
          <w:color w:val="auto"/>
          <w:sz w:val="24"/>
          <w:highlight w:val="none"/>
        </w:rPr>
      </w:pPr>
      <w:r>
        <w:rPr>
          <w:rFonts w:hint="eastAsia" w:ascii="宋体" w:hAnsi="宋体" w:cs="Arial"/>
          <w:b/>
          <w:bCs/>
          <w:color w:val="auto"/>
          <w:sz w:val="24"/>
          <w:highlight w:val="none"/>
        </w:rPr>
        <w:t>一、项目编号:</w:t>
      </w:r>
      <w:r>
        <w:rPr>
          <w:rFonts w:hint="eastAsia" w:ascii="宋体" w:hAnsi="宋体" w:cs="Times New Roman"/>
          <w:b w:val="0"/>
          <w:bCs w:val="0"/>
          <w:color w:val="auto"/>
          <w:sz w:val="24"/>
          <w:highlight w:val="none"/>
        </w:rPr>
        <w:t xml:space="preserve"> hzgq202609249</w:t>
      </w:r>
    </w:p>
    <w:p w14:paraId="75347FA5">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cs="Arial"/>
          <w:b/>
          <w:bCs/>
          <w:color w:val="auto"/>
          <w:sz w:val="24"/>
          <w:highlight w:val="none"/>
        </w:rPr>
      </w:pPr>
      <w:r>
        <w:rPr>
          <w:rFonts w:hint="eastAsia" w:ascii="宋体" w:hAnsi="宋体" w:cs="Arial"/>
          <w:b/>
          <w:bCs/>
          <w:color w:val="auto"/>
          <w:sz w:val="24"/>
          <w:highlight w:val="none"/>
        </w:rPr>
        <w:t>二、集团编号：</w:t>
      </w:r>
      <w:r>
        <w:rPr>
          <w:rFonts w:hint="eastAsia" w:ascii="宋体" w:hAnsi="宋体" w:cs="Arial"/>
          <w:b w:val="0"/>
          <w:bCs w:val="0"/>
          <w:color w:val="auto"/>
          <w:sz w:val="24"/>
          <w:highlight w:val="none"/>
        </w:rPr>
        <w:t>德文旅招[2026]94号</w:t>
      </w:r>
    </w:p>
    <w:p w14:paraId="56003CFF">
      <w:pPr>
        <w:keepNext w:val="0"/>
        <w:keepLines w:val="0"/>
        <w:pageBreakBefore w:val="0"/>
        <w:tabs>
          <w:tab w:val="right" w:pos="8312"/>
        </w:tabs>
        <w:kinsoku/>
        <w:wordWrap/>
        <w:overflowPunct/>
        <w:topLinePunct w:val="0"/>
        <w:autoSpaceDE/>
        <w:autoSpaceDN/>
        <w:bidi w:val="0"/>
        <w:adjustRightInd/>
        <w:snapToGrid w:val="0"/>
        <w:spacing w:line="360" w:lineRule="exact"/>
        <w:textAlignment w:val="auto"/>
        <w:rPr>
          <w:rFonts w:hint="eastAsia" w:ascii="宋体" w:hAnsi="宋体" w:cs="Arial"/>
          <w:color w:val="auto"/>
          <w:sz w:val="24"/>
          <w:highlight w:val="none"/>
        </w:rPr>
      </w:pPr>
      <w:r>
        <w:rPr>
          <w:rFonts w:hint="eastAsia" w:ascii="宋体" w:hAnsi="宋体" w:cs="Arial"/>
          <w:b/>
          <w:color w:val="auto"/>
          <w:sz w:val="24"/>
          <w:highlight w:val="none"/>
        </w:rPr>
        <w:t>三、采购组织类型：</w:t>
      </w:r>
      <w:r>
        <w:rPr>
          <w:rFonts w:hint="eastAsia" w:ascii="宋体" w:hAnsi="宋体"/>
          <w:color w:val="auto"/>
          <w:sz w:val="24"/>
          <w:highlight w:val="none"/>
        </w:rPr>
        <w:t>非政府采购</w:t>
      </w:r>
      <w:r>
        <w:rPr>
          <w:rFonts w:ascii="宋体" w:hAnsi="宋体"/>
          <w:color w:val="auto"/>
          <w:sz w:val="24"/>
          <w:highlight w:val="none"/>
        </w:rPr>
        <w:tab/>
      </w:r>
    </w:p>
    <w:p w14:paraId="06E9F6A2">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cs="Arial"/>
          <w:color w:val="auto"/>
          <w:sz w:val="24"/>
          <w:highlight w:val="none"/>
        </w:rPr>
      </w:pPr>
      <w:r>
        <w:rPr>
          <w:rFonts w:hint="eastAsia" w:ascii="宋体" w:hAnsi="宋体" w:cs="Arial"/>
          <w:b/>
          <w:color w:val="auto"/>
          <w:sz w:val="24"/>
          <w:highlight w:val="none"/>
        </w:rPr>
        <w:t>四、采购方式：</w:t>
      </w:r>
      <w:r>
        <w:rPr>
          <w:rFonts w:hint="eastAsia" w:ascii="宋体" w:hAnsi="宋体"/>
          <w:color w:val="auto"/>
          <w:sz w:val="24"/>
          <w:highlight w:val="none"/>
        </w:rPr>
        <w:t>公开招标</w:t>
      </w:r>
    </w:p>
    <w:p w14:paraId="00F17FF6">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cs="Arial"/>
          <w:b/>
          <w:color w:val="auto"/>
          <w:sz w:val="24"/>
          <w:szCs w:val="20"/>
          <w:highlight w:val="none"/>
        </w:rPr>
      </w:pPr>
      <w:r>
        <w:rPr>
          <w:rFonts w:hint="eastAsia" w:ascii="宋体" w:hAnsi="宋体" w:cs="Arial"/>
          <w:b/>
          <w:color w:val="auto"/>
          <w:sz w:val="24"/>
          <w:szCs w:val="20"/>
          <w:highlight w:val="none"/>
        </w:rPr>
        <w:t>五、资金来源：</w:t>
      </w:r>
      <w:r>
        <w:rPr>
          <w:rFonts w:hint="eastAsia" w:ascii="宋体" w:hAnsi="宋体" w:cs="Arial"/>
          <w:bCs/>
          <w:color w:val="auto"/>
          <w:sz w:val="24"/>
          <w:szCs w:val="20"/>
          <w:highlight w:val="none"/>
        </w:rPr>
        <w:t>自筹</w:t>
      </w:r>
    </w:p>
    <w:p w14:paraId="7EE23AFA">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cs="Arial"/>
          <w:b/>
          <w:bCs/>
          <w:color w:val="auto"/>
          <w:sz w:val="24"/>
          <w:szCs w:val="20"/>
          <w:highlight w:val="none"/>
        </w:rPr>
      </w:pPr>
      <w:r>
        <w:rPr>
          <w:rFonts w:hint="eastAsia" w:ascii="宋体" w:hAnsi="宋体" w:cs="Arial"/>
          <w:b/>
          <w:color w:val="auto"/>
          <w:sz w:val="24"/>
          <w:szCs w:val="20"/>
          <w:highlight w:val="none"/>
        </w:rPr>
        <w:t>六、</w:t>
      </w:r>
      <w:r>
        <w:rPr>
          <w:rFonts w:hint="eastAsia" w:ascii="宋体" w:hAnsi="宋体" w:cs="Arial"/>
          <w:b/>
          <w:bCs/>
          <w:color w:val="auto"/>
          <w:sz w:val="24"/>
          <w:szCs w:val="20"/>
          <w:highlight w:val="none"/>
        </w:rPr>
        <w:t>招标项目概况</w:t>
      </w:r>
    </w:p>
    <w:tbl>
      <w:tblPr>
        <w:tblStyle w:val="17"/>
        <w:tblW w:w="9147"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3486"/>
        <w:gridCol w:w="942"/>
        <w:gridCol w:w="2126"/>
        <w:gridCol w:w="1917"/>
      </w:tblGrid>
      <w:tr w14:paraId="0B4C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exact"/>
        </w:trPr>
        <w:tc>
          <w:tcPr>
            <w:tcW w:w="676" w:type="dxa"/>
            <w:vAlign w:val="center"/>
          </w:tcPr>
          <w:p w14:paraId="1788D1B3">
            <w:pPr>
              <w:keepNext w:val="0"/>
              <w:keepLines w:val="0"/>
              <w:pageBreakBefore w:val="0"/>
              <w:widowControl/>
              <w:suppressLineNumbers w:val="0"/>
              <w:kinsoku/>
              <w:wordWrap/>
              <w:overflowPunct/>
              <w:topLinePunct w:val="0"/>
              <w:autoSpaceDE/>
              <w:autoSpaceDN/>
              <w:bidi w:val="0"/>
              <w:adjustRightInd/>
              <w:spacing w:beforeAutospacing="0" w:afterAutospacing="0" w:line="360" w:lineRule="exact"/>
              <w:ind w:left="0" w:right="0"/>
              <w:jc w:val="center"/>
              <w:textAlignment w:val="auto"/>
              <w:rPr>
                <w:rFonts w:hint="eastAsia" w:ascii="宋体" w:hAnsi="宋体" w:cs="Arial"/>
                <w:b/>
                <w:bCs/>
                <w:color w:val="auto"/>
                <w:sz w:val="24"/>
                <w:szCs w:val="20"/>
                <w:highlight w:val="none"/>
              </w:rPr>
            </w:pPr>
            <w:r>
              <w:rPr>
                <w:rFonts w:hint="eastAsia" w:ascii="宋体" w:hAnsi="宋体" w:cs="Arial"/>
                <w:b/>
                <w:bCs/>
                <w:color w:val="auto"/>
                <w:sz w:val="24"/>
                <w:szCs w:val="20"/>
                <w:highlight w:val="none"/>
              </w:rPr>
              <w:t>序号</w:t>
            </w:r>
          </w:p>
        </w:tc>
        <w:tc>
          <w:tcPr>
            <w:tcW w:w="3486" w:type="dxa"/>
            <w:vAlign w:val="center"/>
          </w:tcPr>
          <w:p w14:paraId="0B44ACFB">
            <w:pPr>
              <w:keepNext w:val="0"/>
              <w:keepLines w:val="0"/>
              <w:pageBreakBefore w:val="0"/>
              <w:widowControl/>
              <w:suppressLineNumbers w:val="0"/>
              <w:kinsoku/>
              <w:wordWrap/>
              <w:overflowPunct/>
              <w:topLinePunct w:val="0"/>
              <w:autoSpaceDE/>
              <w:autoSpaceDN/>
              <w:bidi w:val="0"/>
              <w:adjustRightInd/>
              <w:spacing w:beforeAutospacing="0" w:afterAutospacing="0" w:line="360" w:lineRule="exact"/>
              <w:ind w:left="0" w:right="0"/>
              <w:jc w:val="center"/>
              <w:textAlignment w:val="auto"/>
              <w:rPr>
                <w:rFonts w:hint="eastAsia" w:ascii="宋体" w:hAnsi="宋体" w:cs="Arial"/>
                <w:b/>
                <w:bCs/>
                <w:color w:val="auto"/>
                <w:sz w:val="24"/>
                <w:szCs w:val="20"/>
                <w:highlight w:val="none"/>
              </w:rPr>
            </w:pPr>
            <w:r>
              <w:rPr>
                <w:rFonts w:hint="eastAsia" w:ascii="宋体" w:hAnsi="宋体" w:cs="Arial"/>
                <w:b/>
                <w:bCs/>
                <w:color w:val="auto"/>
                <w:sz w:val="24"/>
                <w:szCs w:val="20"/>
                <w:highlight w:val="none"/>
              </w:rPr>
              <w:t>项目名称</w:t>
            </w:r>
          </w:p>
        </w:tc>
        <w:tc>
          <w:tcPr>
            <w:tcW w:w="942" w:type="dxa"/>
            <w:vAlign w:val="center"/>
          </w:tcPr>
          <w:p w14:paraId="43A93D4C">
            <w:pPr>
              <w:keepNext w:val="0"/>
              <w:keepLines w:val="0"/>
              <w:pageBreakBefore w:val="0"/>
              <w:widowControl/>
              <w:suppressLineNumbers w:val="0"/>
              <w:kinsoku/>
              <w:wordWrap/>
              <w:overflowPunct/>
              <w:topLinePunct w:val="0"/>
              <w:autoSpaceDE/>
              <w:autoSpaceDN/>
              <w:bidi w:val="0"/>
              <w:adjustRightInd/>
              <w:spacing w:beforeAutospacing="0" w:afterAutospacing="0" w:line="360" w:lineRule="exact"/>
              <w:ind w:left="0" w:right="0"/>
              <w:jc w:val="center"/>
              <w:textAlignment w:val="auto"/>
              <w:rPr>
                <w:rFonts w:hint="eastAsia" w:ascii="宋体" w:hAnsi="宋体" w:cs="Arial"/>
                <w:b/>
                <w:bCs/>
                <w:color w:val="auto"/>
                <w:sz w:val="24"/>
                <w:szCs w:val="20"/>
                <w:highlight w:val="none"/>
              </w:rPr>
            </w:pPr>
            <w:r>
              <w:rPr>
                <w:rFonts w:hint="eastAsia" w:ascii="宋体" w:hAnsi="宋体" w:cs="Arial"/>
                <w:b/>
                <w:bCs/>
                <w:color w:val="auto"/>
                <w:sz w:val="24"/>
                <w:szCs w:val="20"/>
                <w:highlight w:val="none"/>
              </w:rPr>
              <w:t>数量及单位</w:t>
            </w:r>
          </w:p>
        </w:tc>
        <w:tc>
          <w:tcPr>
            <w:tcW w:w="2126" w:type="dxa"/>
            <w:vAlign w:val="center"/>
          </w:tcPr>
          <w:p w14:paraId="209BA20E">
            <w:pPr>
              <w:keepNext w:val="0"/>
              <w:keepLines w:val="0"/>
              <w:pageBreakBefore w:val="0"/>
              <w:widowControl/>
              <w:suppressLineNumbers w:val="0"/>
              <w:kinsoku/>
              <w:wordWrap/>
              <w:overflowPunct/>
              <w:topLinePunct w:val="0"/>
              <w:autoSpaceDE/>
              <w:autoSpaceDN/>
              <w:bidi w:val="0"/>
              <w:adjustRightInd/>
              <w:spacing w:beforeAutospacing="0" w:afterAutospacing="0" w:line="360" w:lineRule="exact"/>
              <w:ind w:left="0" w:right="0"/>
              <w:jc w:val="center"/>
              <w:textAlignment w:val="auto"/>
              <w:rPr>
                <w:rFonts w:hint="eastAsia" w:ascii="宋体" w:hAnsi="宋体" w:cs="Arial"/>
                <w:b/>
                <w:bCs/>
                <w:color w:val="auto"/>
                <w:sz w:val="24"/>
                <w:szCs w:val="20"/>
                <w:highlight w:val="none"/>
              </w:rPr>
            </w:pPr>
            <w:r>
              <w:rPr>
                <w:rFonts w:hint="eastAsia" w:ascii="宋体" w:hAnsi="宋体" w:cs="Arial"/>
                <w:b/>
                <w:bCs/>
                <w:color w:val="auto"/>
                <w:sz w:val="24"/>
                <w:szCs w:val="20"/>
                <w:highlight w:val="none"/>
              </w:rPr>
              <w:t>采购预算</w:t>
            </w:r>
          </w:p>
        </w:tc>
        <w:tc>
          <w:tcPr>
            <w:tcW w:w="1917" w:type="dxa"/>
            <w:vAlign w:val="center"/>
          </w:tcPr>
          <w:p w14:paraId="649346B5">
            <w:pPr>
              <w:keepNext w:val="0"/>
              <w:keepLines w:val="0"/>
              <w:pageBreakBefore w:val="0"/>
              <w:widowControl/>
              <w:suppressLineNumbers w:val="0"/>
              <w:kinsoku/>
              <w:wordWrap/>
              <w:overflowPunct/>
              <w:topLinePunct w:val="0"/>
              <w:autoSpaceDE/>
              <w:autoSpaceDN/>
              <w:bidi w:val="0"/>
              <w:adjustRightInd/>
              <w:spacing w:beforeAutospacing="0" w:afterAutospacing="0" w:line="360" w:lineRule="exact"/>
              <w:ind w:left="0" w:right="0"/>
              <w:jc w:val="center"/>
              <w:textAlignment w:val="auto"/>
              <w:rPr>
                <w:rFonts w:hint="eastAsia" w:ascii="宋体" w:hAnsi="宋体" w:cs="Arial"/>
                <w:b/>
                <w:bCs/>
                <w:color w:val="auto"/>
                <w:sz w:val="24"/>
                <w:szCs w:val="20"/>
                <w:highlight w:val="none"/>
              </w:rPr>
            </w:pPr>
            <w:r>
              <w:rPr>
                <w:rFonts w:hint="eastAsia" w:ascii="宋体" w:hAnsi="宋体" w:cs="Arial"/>
                <w:b/>
                <w:bCs/>
                <w:color w:val="auto"/>
                <w:sz w:val="24"/>
                <w:szCs w:val="20"/>
                <w:highlight w:val="none"/>
              </w:rPr>
              <w:t>简要规格描述或基本概况介绍</w:t>
            </w:r>
          </w:p>
        </w:tc>
      </w:tr>
      <w:tr w14:paraId="51E6D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6" w:type="dxa"/>
            <w:vAlign w:val="center"/>
          </w:tcPr>
          <w:p w14:paraId="713DCE0E">
            <w:pPr>
              <w:keepNext w:val="0"/>
              <w:keepLines w:val="0"/>
              <w:pageBreakBefore w:val="0"/>
              <w:suppressLineNumbers w:val="0"/>
              <w:kinsoku/>
              <w:wordWrap/>
              <w:overflowPunct/>
              <w:topLinePunct w:val="0"/>
              <w:autoSpaceDE/>
              <w:autoSpaceDN/>
              <w:bidi w:val="0"/>
              <w:adjustRightInd/>
              <w:snapToGrid w:val="0"/>
              <w:spacing w:beforeAutospacing="0" w:afterAutospacing="0" w:line="360" w:lineRule="exact"/>
              <w:ind w:left="0" w:right="0"/>
              <w:jc w:val="center"/>
              <w:textAlignment w:val="auto"/>
              <w:rPr>
                <w:rFonts w:hint="default" w:ascii="宋体" w:hAnsi="宋体" w:cs="Arial"/>
                <w:b/>
                <w:bCs/>
                <w:color w:val="auto"/>
                <w:sz w:val="24"/>
                <w:szCs w:val="20"/>
                <w:highlight w:val="none"/>
              </w:rPr>
            </w:pPr>
            <w:r>
              <w:rPr>
                <w:rFonts w:hint="eastAsia" w:ascii="宋体" w:hAnsi="宋体" w:cs="Arial"/>
                <w:b/>
                <w:bCs/>
                <w:color w:val="auto"/>
                <w:sz w:val="24"/>
                <w:szCs w:val="20"/>
                <w:highlight w:val="none"/>
              </w:rPr>
              <w:t>1</w:t>
            </w:r>
          </w:p>
        </w:tc>
        <w:tc>
          <w:tcPr>
            <w:tcW w:w="3486" w:type="dxa"/>
            <w:vAlign w:val="center"/>
          </w:tcPr>
          <w:p w14:paraId="280A3949">
            <w:pPr>
              <w:keepNext w:val="0"/>
              <w:keepLines w:val="0"/>
              <w:pageBreakBefore w:val="0"/>
              <w:suppressLineNumbers w:val="0"/>
              <w:kinsoku/>
              <w:wordWrap/>
              <w:overflowPunct/>
              <w:topLinePunct w:val="0"/>
              <w:autoSpaceDE/>
              <w:autoSpaceDN/>
              <w:bidi w:val="0"/>
              <w:adjustRightInd/>
              <w:snapToGrid w:val="0"/>
              <w:spacing w:beforeAutospacing="0" w:afterAutospacing="0" w:line="360" w:lineRule="exact"/>
              <w:ind w:left="0" w:right="0"/>
              <w:jc w:val="center"/>
              <w:textAlignment w:val="auto"/>
              <w:rPr>
                <w:rFonts w:hint="eastAsia" w:ascii="宋体" w:hAnsi="宋体" w:eastAsia="宋体" w:cs="Arial"/>
                <w:b/>
                <w:bCs/>
                <w:color w:val="auto"/>
                <w:sz w:val="24"/>
                <w:szCs w:val="20"/>
                <w:highlight w:val="none"/>
                <w:lang w:eastAsia="zh-CN"/>
              </w:rPr>
            </w:pPr>
            <w:r>
              <w:rPr>
                <w:rFonts w:hint="eastAsia" w:ascii="宋体" w:hAnsi="宋体"/>
                <w:b/>
                <w:color w:val="auto"/>
                <w:kern w:val="0"/>
                <w:sz w:val="24"/>
                <w:highlight w:val="none"/>
                <w:lang w:eastAsia="zh-CN"/>
              </w:rPr>
              <w:t>江南之源文化遗址公园德清窑空气治理项目</w:t>
            </w:r>
          </w:p>
        </w:tc>
        <w:tc>
          <w:tcPr>
            <w:tcW w:w="942" w:type="dxa"/>
            <w:vAlign w:val="center"/>
          </w:tcPr>
          <w:p w14:paraId="0DF916D7">
            <w:pPr>
              <w:pStyle w:val="24"/>
              <w:keepNext w:val="0"/>
              <w:keepLines w:val="0"/>
              <w:pageBreakBefore w:val="0"/>
              <w:widowControl/>
              <w:suppressLineNumbers w:val="0"/>
              <w:kinsoku/>
              <w:wordWrap/>
              <w:overflowPunct/>
              <w:topLinePunct w:val="0"/>
              <w:autoSpaceDE/>
              <w:autoSpaceDN/>
              <w:bidi w:val="0"/>
              <w:adjustRightInd/>
              <w:spacing w:beforeAutospacing="0" w:afterAutospacing="0" w:line="360" w:lineRule="exact"/>
              <w:ind w:left="0" w:right="0"/>
              <w:jc w:val="center"/>
              <w:textAlignment w:val="auto"/>
              <w:rPr>
                <w:rFonts w:hint="default"/>
                <w:color w:val="auto"/>
                <w:highlight w:val="none"/>
              </w:rPr>
            </w:pPr>
            <w:r>
              <w:rPr>
                <w:rFonts w:hint="eastAsia" w:ascii="宋体" w:hAnsi="宋体" w:cs="Arial"/>
                <w:b/>
                <w:bCs/>
                <w:color w:val="auto"/>
                <w:sz w:val="24"/>
                <w:szCs w:val="20"/>
                <w:highlight w:val="none"/>
              </w:rPr>
              <w:t>1项</w:t>
            </w:r>
          </w:p>
        </w:tc>
        <w:tc>
          <w:tcPr>
            <w:tcW w:w="2126" w:type="dxa"/>
            <w:vAlign w:val="center"/>
          </w:tcPr>
          <w:p w14:paraId="7E783F29">
            <w:pPr>
              <w:pStyle w:val="8"/>
              <w:keepNext w:val="0"/>
              <w:keepLines w:val="0"/>
              <w:pageBreakBefore w:val="0"/>
              <w:suppressLineNumbers w:val="0"/>
              <w:kinsoku/>
              <w:wordWrap/>
              <w:overflowPunct/>
              <w:topLinePunct w:val="0"/>
              <w:autoSpaceDE/>
              <w:autoSpaceDN/>
              <w:bidi w:val="0"/>
              <w:adjustRightInd/>
              <w:spacing w:beforeAutospacing="0" w:after="0" w:afterAutospacing="0" w:line="360" w:lineRule="exact"/>
              <w:ind w:left="0" w:right="0" w:firstLine="0" w:firstLineChars="0"/>
              <w:jc w:val="center"/>
              <w:textAlignment w:val="auto"/>
              <w:rPr>
                <w:rFonts w:hint="default" w:ascii="宋体" w:hAnsi="宋体" w:cs="Arial"/>
                <w:b/>
                <w:bCs/>
                <w:color w:val="auto"/>
                <w:sz w:val="24"/>
                <w:highlight w:val="none"/>
              </w:rPr>
            </w:pPr>
            <w:r>
              <w:rPr>
                <w:rFonts w:hint="eastAsia" w:ascii="宋体" w:hAnsi="宋体" w:cs="Arial"/>
                <w:b/>
                <w:bCs/>
                <w:color w:val="auto"/>
                <w:kern w:val="2"/>
                <w:sz w:val="24"/>
                <w:szCs w:val="20"/>
                <w:highlight w:val="none"/>
                <w:lang w:val="en-US" w:eastAsia="zh-CN"/>
              </w:rPr>
              <w:t>30万</w:t>
            </w:r>
            <w:r>
              <w:rPr>
                <w:rFonts w:hint="eastAsia" w:ascii="宋体" w:hAnsi="宋体" w:cs="Arial"/>
                <w:b/>
                <w:bCs/>
                <w:color w:val="auto"/>
                <w:kern w:val="2"/>
                <w:sz w:val="24"/>
                <w:szCs w:val="20"/>
                <w:highlight w:val="none"/>
              </w:rPr>
              <w:t>元</w:t>
            </w:r>
          </w:p>
        </w:tc>
        <w:tc>
          <w:tcPr>
            <w:tcW w:w="1917" w:type="dxa"/>
            <w:vAlign w:val="center"/>
          </w:tcPr>
          <w:p w14:paraId="437A71A2">
            <w:pPr>
              <w:keepNext w:val="0"/>
              <w:keepLines w:val="0"/>
              <w:pageBreakBefore w:val="0"/>
              <w:widowControl/>
              <w:suppressLineNumbers w:val="0"/>
              <w:kinsoku/>
              <w:wordWrap/>
              <w:overflowPunct/>
              <w:topLinePunct w:val="0"/>
              <w:autoSpaceDE/>
              <w:autoSpaceDN/>
              <w:bidi w:val="0"/>
              <w:adjustRightInd/>
              <w:spacing w:beforeAutospacing="0" w:afterAutospacing="0" w:line="360" w:lineRule="exact"/>
              <w:ind w:left="0" w:right="0"/>
              <w:jc w:val="center"/>
              <w:textAlignment w:val="auto"/>
              <w:rPr>
                <w:rFonts w:hint="eastAsia" w:ascii="宋体" w:hAnsi="宋体" w:eastAsia="宋体" w:cs="Arial"/>
                <w:b/>
                <w:bCs/>
                <w:color w:val="auto"/>
                <w:sz w:val="24"/>
                <w:szCs w:val="20"/>
                <w:highlight w:val="none"/>
                <w:lang w:eastAsia="zh-CN"/>
              </w:rPr>
            </w:pPr>
            <w:r>
              <w:rPr>
                <w:rFonts w:hint="eastAsia" w:ascii="宋体" w:hAnsi="宋体" w:cs="Arial"/>
                <w:b/>
                <w:bCs/>
                <w:color w:val="auto"/>
                <w:sz w:val="24"/>
                <w:szCs w:val="20"/>
                <w:highlight w:val="none"/>
              </w:rPr>
              <w:t>详见</w:t>
            </w:r>
            <w:r>
              <w:rPr>
                <w:rFonts w:hint="eastAsia" w:ascii="宋体" w:hAnsi="宋体" w:cs="Arial"/>
                <w:b/>
                <w:bCs/>
                <w:color w:val="auto"/>
                <w:sz w:val="24"/>
                <w:szCs w:val="20"/>
                <w:highlight w:val="none"/>
                <w:lang w:val="en-US" w:eastAsia="zh-CN"/>
              </w:rPr>
              <w:t>采购文件</w:t>
            </w:r>
          </w:p>
        </w:tc>
      </w:tr>
      <w:tr w14:paraId="5E89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147" w:type="dxa"/>
            <w:gridSpan w:val="5"/>
            <w:vAlign w:val="center"/>
          </w:tcPr>
          <w:p w14:paraId="5F21F094">
            <w:pPr>
              <w:keepNext w:val="0"/>
              <w:keepLines w:val="0"/>
              <w:pageBreakBefore w:val="0"/>
              <w:suppressLineNumbers w:val="0"/>
              <w:kinsoku/>
              <w:wordWrap/>
              <w:overflowPunct/>
              <w:topLinePunct w:val="0"/>
              <w:autoSpaceDE/>
              <w:autoSpaceDN/>
              <w:bidi w:val="0"/>
              <w:adjustRightInd/>
              <w:spacing w:beforeAutospacing="0" w:afterAutospacing="0" w:line="360" w:lineRule="exact"/>
              <w:ind w:left="0" w:right="0"/>
              <w:textAlignment w:val="auto"/>
              <w:rPr>
                <w:rFonts w:hint="eastAsia" w:ascii="宋体" w:hAnsi="宋体" w:cs="Arial"/>
                <w:b/>
                <w:bCs/>
                <w:color w:val="auto"/>
                <w:sz w:val="24"/>
                <w:szCs w:val="20"/>
                <w:highlight w:val="none"/>
              </w:rPr>
            </w:pPr>
            <w:r>
              <w:rPr>
                <w:rFonts w:hint="eastAsia" w:ascii="宋体" w:hAnsi="宋体"/>
                <w:b/>
                <w:color w:val="auto"/>
                <w:kern w:val="0"/>
                <w:sz w:val="24"/>
                <w:highlight w:val="none"/>
              </w:rPr>
              <w:t>备注：投标报价不得超采购预算金额，否则做无效标处理。</w:t>
            </w:r>
          </w:p>
        </w:tc>
      </w:tr>
    </w:tbl>
    <w:p w14:paraId="3A0218F6">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cs="Arial"/>
          <w:b/>
          <w:color w:val="auto"/>
          <w:sz w:val="24"/>
          <w:szCs w:val="20"/>
          <w:highlight w:val="none"/>
        </w:rPr>
      </w:pPr>
      <w:r>
        <w:rPr>
          <w:rFonts w:hint="eastAsia" w:ascii="宋体" w:hAnsi="宋体" w:cs="Arial"/>
          <w:b/>
          <w:color w:val="auto"/>
          <w:sz w:val="24"/>
          <w:szCs w:val="20"/>
          <w:highlight w:val="none"/>
        </w:rPr>
        <w:t xml:space="preserve">七、投标供应商资格要求: </w:t>
      </w:r>
    </w:p>
    <w:p w14:paraId="5CEAE589">
      <w:pPr>
        <w:keepNext w:val="0"/>
        <w:keepLines w:val="0"/>
        <w:pageBreakBefore w:val="0"/>
        <w:widowControl/>
        <w:kinsoku/>
        <w:wordWrap/>
        <w:overflowPunct/>
        <w:topLinePunct w:val="0"/>
        <w:autoSpaceDE/>
        <w:autoSpaceDN/>
        <w:bidi w:val="0"/>
        <w:adjustRightInd/>
        <w:spacing w:line="360" w:lineRule="exact"/>
        <w:ind w:firstLine="480" w:firstLineChars="200"/>
        <w:jc w:val="left"/>
        <w:textAlignment w:val="auto"/>
        <w:rPr>
          <w:rFonts w:hint="eastAsia" w:ascii="宋体" w:hAnsi="宋体"/>
          <w:color w:val="auto"/>
          <w:sz w:val="24"/>
          <w:highlight w:val="none"/>
        </w:rPr>
      </w:pPr>
      <w:r>
        <w:rPr>
          <w:rFonts w:hint="eastAsia" w:ascii="宋体" w:hAnsi="宋体"/>
          <w:color w:val="auto"/>
          <w:sz w:val="24"/>
          <w:highlight w:val="none"/>
        </w:rPr>
        <w:t>A. 拟投标人须为中华人民共和国境内注册，具有相应供货及服务能力的供应商；（（1）具有独立承担民事责任的能力；（2）具有良好的商业信誉和健全的财务会计制度；（3）具有履行合同所必需的设备和专业技术能力；（4）有依法缴纳税收和社会保障资金的良好记录；（5）参加采购活动前三年内，在经营活动中没有重大违法记录；（6）法律、行政法规规定的其他条件。）</w:t>
      </w:r>
    </w:p>
    <w:p w14:paraId="364BC01A">
      <w:pPr>
        <w:keepNext w:val="0"/>
        <w:keepLines w:val="0"/>
        <w:pageBreakBefore w:val="0"/>
        <w:widowControl/>
        <w:kinsoku/>
        <w:wordWrap/>
        <w:overflowPunct/>
        <w:topLinePunct w:val="0"/>
        <w:autoSpaceDE/>
        <w:autoSpaceDN/>
        <w:bidi w:val="0"/>
        <w:adjustRightInd/>
        <w:spacing w:line="360" w:lineRule="exact"/>
        <w:ind w:firstLine="480" w:firstLineChars="200"/>
        <w:jc w:val="left"/>
        <w:textAlignment w:val="auto"/>
        <w:rPr>
          <w:rFonts w:hint="eastAsia" w:ascii="宋体" w:hAnsi="宋体" w:cs="Arial"/>
          <w:color w:val="auto"/>
          <w:sz w:val="24"/>
          <w:szCs w:val="20"/>
          <w:highlight w:val="none"/>
        </w:rPr>
      </w:pPr>
      <w:r>
        <w:rPr>
          <w:rFonts w:hint="eastAsia" w:ascii="宋体" w:hAnsi="宋体"/>
          <w:color w:val="auto"/>
          <w:sz w:val="24"/>
          <w:highlight w:val="none"/>
        </w:rPr>
        <w:t>B.拟</w:t>
      </w:r>
      <w:r>
        <w:rPr>
          <w:rFonts w:hint="eastAsia" w:ascii="宋体" w:hAnsi="宋体" w:cs="Arial"/>
          <w:color w:val="auto"/>
          <w:sz w:val="24"/>
          <w:szCs w:val="20"/>
          <w:highlight w:val="none"/>
        </w:rPr>
        <w:t>投标人须具有较强</w:t>
      </w:r>
      <w:r>
        <w:rPr>
          <w:rFonts w:hint="eastAsia" w:ascii="宋体" w:hAnsi="宋体" w:cs="Arial"/>
          <w:color w:val="auto"/>
          <w:sz w:val="24"/>
          <w:szCs w:val="20"/>
          <w:highlight w:val="none"/>
          <w:lang w:eastAsia="zh-CN"/>
        </w:rPr>
        <w:t>的</w:t>
      </w:r>
      <w:r>
        <w:rPr>
          <w:rFonts w:hint="eastAsia" w:ascii="宋体" w:hAnsi="宋体" w:cs="Arial"/>
          <w:color w:val="auto"/>
          <w:sz w:val="24"/>
          <w:szCs w:val="20"/>
          <w:highlight w:val="none"/>
          <w:lang w:val="en-US" w:eastAsia="zh-CN"/>
        </w:rPr>
        <w:t>供货能力</w:t>
      </w:r>
      <w:r>
        <w:rPr>
          <w:rFonts w:hint="eastAsia" w:ascii="宋体" w:hAnsi="宋体" w:cs="Arial"/>
          <w:color w:val="auto"/>
          <w:sz w:val="24"/>
          <w:szCs w:val="20"/>
          <w:highlight w:val="none"/>
        </w:rPr>
        <w:t>和能提供长期的售后服务能力；</w:t>
      </w:r>
    </w:p>
    <w:p w14:paraId="3F7FD0FD">
      <w:pPr>
        <w:keepNext w:val="0"/>
        <w:keepLines w:val="0"/>
        <w:pageBreakBefore w:val="0"/>
        <w:widowControl/>
        <w:kinsoku/>
        <w:wordWrap/>
        <w:overflowPunct/>
        <w:topLinePunct w:val="0"/>
        <w:autoSpaceDE/>
        <w:autoSpaceDN/>
        <w:bidi w:val="0"/>
        <w:adjustRightInd/>
        <w:spacing w:line="360" w:lineRule="exact"/>
        <w:ind w:firstLine="480" w:firstLineChars="200"/>
        <w:jc w:val="left"/>
        <w:textAlignment w:val="auto"/>
        <w:rPr>
          <w:rFonts w:hint="eastAsia" w:ascii="宋体" w:hAnsi="宋体" w:cs="Arial"/>
          <w:color w:val="auto"/>
          <w:sz w:val="24"/>
          <w:szCs w:val="20"/>
          <w:highlight w:val="none"/>
        </w:rPr>
      </w:pPr>
      <w:r>
        <w:rPr>
          <w:rFonts w:hint="eastAsia" w:ascii="宋体" w:hAnsi="宋体" w:cs="Arial"/>
          <w:color w:val="auto"/>
          <w:sz w:val="24"/>
          <w:szCs w:val="20"/>
          <w:highlight w:val="none"/>
        </w:rPr>
        <w:t>C.本项目不接受联合体投标。</w:t>
      </w:r>
    </w:p>
    <w:p w14:paraId="185391F4">
      <w:pPr>
        <w:keepNext w:val="0"/>
        <w:keepLines w:val="0"/>
        <w:pageBreakBefore w:val="0"/>
        <w:widowControl/>
        <w:kinsoku/>
        <w:wordWrap/>
        <w:overflowPunct/>
        <w:topLinePunct w:val="0"/>
        <w:autoSpaceDE/>
        <w:autoSpaceDN/>
        <w:bidi w:val="0"/>
        <w:adjustRightInd/>
        <w:spacing w:line="360" w:lineRule="exact"/>
        <w:jc w:val="left"/>
        <w:textAlignment w:val="auto"/>
        <w:rPr>
          <w:rFonts w:hint="eastAsia" w:ascii="宋体" w:hAnsi="宋体" w:cs="Arial"/>
          <w:b/>
          <w:color w:val="auto"/>
          <w:sz w:val="24"/>
          <w:szCs w:val="20"/>
          <w:highlight w:val="none"/>
        </w:rPr>
      </w:pPr>
      <w:r>
        <w:rPr>
          <w:rFonts w:hint="eastAsia" w:ascii="宋体" w:hAnsi="宋体" w:cs="Arial"/>
          <w:b/>
          <w:color w:val="auto"/>
          <w:sz w:val="24"/>
          <w:szCs w:val="20"/>
          <w:highlight w:val="none"/>
        </w:rPr>
        <w:t>八、采购文件的获取和递交:</w:t>
      </w:r>
    </w:p>
    <w:p w14:paraId="3AF9029A">
      <w:pPr>
        <w:keepNext w:val="0"/>
        <w:keepLines w:val="0"/>
        <w:pageBreakBefore w:val="0"/>
        <w:widowControl/>
        <w:kinsoku/>
        <w:wordWrap/>
        <w:overflowPunct/>
        <w:topLinePunct w:val="0"/>
        <w:autoSpaceDE/>
        <w:autoSpaceDN/>
        <w:bidi w:val="0"/>
        <w:adjustRightInd/>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1、用户可通过招标公告中附件下载获取招标文件进行查看咨询；</w:t>
      </w:r>
    </w:p>
    <w:p w14:paraId="2DD04F1D">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CA锁办理(电话:4000878198)：</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"http://www.hzlscgfw.cn/xzzx/20220505/a59accbb-5de7-4e4e-b7b8-e6c1166375ea.html。" </w:instrText>
      </w:r>
      <w:r>
        <w:rPr>
          <w:rFonts w:hint="eastAsia" w:ascii="宋体" w:hAnsi="宋体" w:eastAsia="宋体" w:cs="宋体"/>
          <w:color w:val="auto"/>
          <w:sz w:val="24"/>
          <w:szCs w:val="24"/>
          <w:highlight w:val="none"/>
        </w:rPr>
        <w:fldChar w:fldCharType="separate"/>
      </w:r>
      <w:r>
        <w:rPr>
          <w:rStyle w:val="21"/>
          <w:rFonts w:hint="eastAsia" w:ascii="宋体" w:hAnsi="宋体" w:eastAsia="宋体" w:cs="宋体"/>
          <w:color w:val="auto"/>
          <w:sz w:val="24"/>
          <w:szCs w:val="24"/>
          <w:highlight w:val="none"/>
        </w:rPr>
        <w:t>http://www.hzlscgfw.cn/xzzx/20220505/a59accbb-5de7-4e4e-b7b8-e6c1166375ea.html。</w:t>
      </w:r>
      <w:r>
        <w:rPr>
          <w:rFonts w:hint="eastAsia" w:ascii="宋体" w:hAnsi="宋体" w:eastAsia="宋体" w:cs="宋体"/>
          <w:color w:val="auto"/>
          <w:sz w:val="24"/>
          <w:szCs w:val="24"/>
          <w:highlight w:val="none"/>
        </w:rPr>
        <w:fldChar w:fldCharType="end"/>
      </w:r>
    </w:p>
    <w:p w14:paraId="7B2DB7DF">
      <w:pPr>
        <w:keepNext w:val="0"/>
        <w:keepLines w:val="0"/>
        <w:pageBreakBefore w:val="0"/>
        <w:widowControl/>
        <w:kinsoku/>
        <w:wordWrap/>
        <w:overflowPunct/>
        <w:topLinePunct w:val="0"/>
        <w:autoSpaceDE/>
        <w:autoSpaceDN/>
        <w:bidi w:val="0"/>
        <w:adjustRightInd/>
        <w:spacing w:line="36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软件技术支持电话：4009280095转5；0572-8293029；0572-5672608；0572-6065951；0572-2375013。 </w:t>
      </w:r>
    </w:p>
    <w:p w14:paraId="272E88F6">
      <w:pPr>
        <w:keepNext w:val="0"/>
        <w:keepLines w:val="0"/>
        <w:pageBreakBefore w:val="0"/>
        <w:widowControl/>
        <w:kinsoku/>
        <w:wordWrap/>
        <w:overflowPunct/>
        <w:topLinePunct w:val="0"/>
        <w:autoSpaceDE/>
        <w:autoSpaceDN/>
        <w:bidi w:val="0"/>
        <w:adjustRightInd/>
        <w:spacing w:line="360" w:lineRule="exact"/>
        <w:ind w:firstLine="540" w:firstLineChars="225"/>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3、投标报名时需缴纳150元的交易服务费。</w:t>
      </w:r>
    </w:p>
    <w:p w14:paraId="0446E03F">
      <w:pPr>
        <w:keepNext w:val="0"/>
        <w:keepLines w:val="0"/>
        <w:pageBreakBefore w:val="0"/>
        <w:widowControl/>
        <w:kinsoku/>
        <w:wordWrap/>
        <w:overflowPunct/>
        <w:topLinePunct w:val="0"/>
        <w:autoSpaceDE/>
        <w:autoSpaceDN/>
        <w:bidi w:val="0"/>
        <w:adjustRightInd/>
        <w:spacing w:line="360" w:lineRule="exact"/>
        <w:ind w:firstLine="540" w:firstLineChars="225"/>
        <w:jc w:val="left"/>
        <w:textAlignment w:val="auto"/>
        <w:rPr>
          <w:rFonts w:hint="eastAsia" w:ascii="宋体" w:hAnsi="宋体" w:cs="Arial"/>
          <w:b/>
          <w:color w:val="auto"/>
          <w:sz w:val="24"/>
          <w:szCs w:val="20"/>
          <w:highlight w:val="none"/>
        </w:rPr>
      </w:pPr>
      <w:r>
        <w:rPr>
          <w:rFonts w:hint="eastAsia" w:ascii="宋体" w:hAnsi="宋体" w:eastAsia="宋体" w:cs="宋体"/>
          <w:color w:val="auto"/>
          <w:sz w:val="24"/>
          <w:szCs w:val="24"/>
          <w:highlight w:val="none"/>
        </w:rPr>
        <w:t xml:space="preserve">4、投标文件递交的截止时间（投标截止时间，下同）为 </w:t>
      </w: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09</w:t>
      </w:r>
      <w:r>
        <w:rPr>
          <w:rFonts w:hint="eastAsia" w:ascii="宋体" w:hAnsi="宋体" w:eastAsia="宋体" w:cs="宋体"/>
          <w:color w:val="auto"/>
          <w:sz w:val="24"/>
          <w:szCs w:val="24"/>
          <w:highlight w:val="none"/>
        </w:rPr>
        <w:t>时00分。投标人应在投标截止时间前，登录湖州市绿色采购服务平台—供应商登录——上传投标文件模块，上传 CA 加密后的电子投标文件</w:t>
      </w:r>
      <w:r>
        <w:rPr>
          <w:rFonts w:hint="eastAsia" w:ascii="宋体" w:hAnsi="宋体" w:cs="Arial"/>
          <w:b/>
          <w:color w:val="auto"/>
          <w:sz w:val="24"/>
          <w:szCs w:val="20"/>
          <w:highlight w:val="none"/>
        </w:rPr>
        <w:t>。</w:t>
      </w:r>
    </w:p>
    <w:p w14:paraId="5F08D76D">
      <w:pPr>
        <w:keepNext w:val="0"/>
        <w:keepLines w:val="0"/>
        <w:pageBreakBefore w:val="0"/>
        <w:widowControl/>
        <w:kinsoku/>
        <w:wordWrap/>
        <w:overflowPunct/>
        <w:topLinePunct w:val="0"/>
        <w:autoSpaceDE/>
        <w:autoSpaceDN/>
        <w:bidi w:val="0"/>
        <w:adjustRightInd/>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5、逾期上传电子投标文件的，采购人不予受理。</w:t>
      </w:r>
    </w:p>
    <w:p w14:paraId="04B9DBEA">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auto"/>
          <w:sz w:val="24"/>
          <w:szCs w:val="24"/>
          <w:highlight w:val="none"/>
        </w:rPr>
      </w:pPr>
      <w:r>
        <w:rPr>
          <w:rFonts w:hint="eastAsia" w:ascii="宋体" w:hAnsi="宋体"/>
          <w:b/>
          <w:color w:val="auto"/>
          <w:sz w:val="24"/>
          <w:highlight w:val="none"/>
        </w:rPr>
        <w:t>九、</w:t>
      </w:r>
      <w:r>
        <w:rPr>
          <w:rFonts w:hint="eastAsia" w:ascii="宋体" w:hAnsi="宋体" w:eastAsia="宋体" w:cs="宋体"/>
          <w:b/>
          <w:color w:val="auto"/>
          <w:sz w:val="24"/>
          <w:szCs w:val="24"/>
          <w:highlight w:val="none"/>
        </w:rPr>
        <w:t>投标保证金：</w:t>
      </w:r>
      <w:r>
        <w:rPr>
          <w:rFonts w:hint="eastAsia" w:ascii="宋体" w:hAnsi="宋体" w:eastAsia="宋体" w:cs="宋体"/>
          <w:color w:val="auto"/>
          <w:sz w:val="24"/>
          <w:szCs w:val="24"/>
          <w:highlight w:val="none"/>
        </w:rPr>
        <w:t>投标保证金(元)：</w:t>
      </w:r>
      <w:r>
        <w:rPr>
          <w:rFonts w:hint="eastAsia" w:ascii="宋体" w:hAnsi="宋体" w:eastAsia="宋体" w:cs="宋体"/>
          <w:bCs/>
          <w:color w:val="auto"/>
          <w:sz w:val="24"/>
          <w:szCs w:val="24"/>
          <w:highlight w:val="none"/>
        </w:rPr>
        <w:t>保证金金额：</w:t>
      </w:r>
      <w:r>
        <w:rPr>
          <w:rFonts w:hint="eastAsia" w:ascii="宋体" w:hAnsi="宋体" w:cs="宋体"/>
          <w:bCs/>
          <w:color w:val="auto"/>
          <w:sz w:val="24"/>
          <w:szCs w:val="24"/>
          <w:highlight w:val="none"/>
          <w:u w:val="single"/>
          <w:lang w:val="en-US" w:eastAsia="zh-CN"/>
        </w:rPr>
        <w:t>5</w:t>
      </w:r>
      <w:r>
        <w:rPr>
          <w:rFonts w:hint="eastAsia" w:ascii="宋体" w:hAnsi="宋体" w:eastAsia="宋体" w:cs="宋体"/>
          <w:bCs/>
          <w:color w:val="auto"/>
          <w:sz w:val="24"/>
          <w:szCs w:val="24"/>
          <w:highlight w:val="none"/>
          <w:u w:val="single"/>
          <w:lang w:val="en-US" w:eastAsia="zh-CN"/>
        </w:rPr>
        <w:t>00</w:t>
      </w:r>
      <w:r>
        <w:rPr>
          <w:rFonts w:hint="eastAsia" w:ascii="宋体" w:hAnsi="宋体" w:eastAsia="宋体" w:cs="宋体"/>
          <w:bCs/>
          <w:color w:val="auto"/>
          <w:sz w:val="24"/>
          <w:szCs w:val="24"/>
          <w:highlight w:val="none"/>
          <w:u w:val="single"/>
        </w:rPr>
        <w:t>0</w:t>
      </w:r>
      <w:r>
        <w:rPr>
          <w:rFonts w:hint="eastAsia" w:ascii="宋体" w:hAnsi="宋体" w:eastAsia="宋体" w:cs="宋体"/>
          <w:bCs/>
          <w:color w:val="auto"/>
          <w:sz w:val="24"/>
          <w:szCs w:val="24"/>
          <w:highlight w:val="none"/>
        </w:rPr>
        <w:t>元 ，大写：</w:t>
      </w:r>
      <w:r>
        <w:rPr>
          <w:rFonts w:hint="eastAsia" w:ascii="宋体" w:hAnsi="宋体" w:cs="宋体"/>
          <w:bCs/>
          <w:color w:val="auto"/>
          <w:sz w:val="24"/>
          <w:szCs w:val="24"/>
          <w:highlight w:val="none"/>
          <w:u w:val="single"/>
          <w:lang w:val="en-US" w:eastAsia="zh-CN"/>
        </w:rPr>
        <w:t>伍仟</w:t>
      </w:r>
      <w:r>
        <w:rPr>
          <w:rFonts w:hint="eastAsia" w:ascii="宋体" w:hAnsi="宋体" w:eastAsia="宋体" w:cs="宋体"/>
          <w:bCs/>
          <w:color w:val="auto"/>
          <w:sz w:val="24"/>
          <w:szCs w:val="24"/>
          <w:highlight w:val="none"/>
        </w:rPr>
        <w:t>元整；</w:t>
      </w:r>
      <w:r>
        <w:rPr>
          <w:rFonts w:hint="eastAsia" w:ascii="宋体" w:hAnsi="宋体" w:eastAsia="宋体" w:cs="宋体"/>
          <w:color w:val="auto"/>
          <w:sz w:val="24"/>
          <w:szCs w:val="24"/>
          <w:highlight w:val="none"/>
        </w:rPr>
        <w:t>(投标保证金交纳时需备注项目编号)</w:t>
      </w:r>
    </w:p>
    <w:p w14:paraId="1AB83951">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交纳方式：网银或电汇或电子保函（☑关联□不关联）</w:t>
      </w:r>
    </w:p>
    <w:p w14:paraId="4ED0CF19">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投标保证金交纳的账户名称、账号、开户银行等信息请登录湖州市绿色采购服务平台-我的项目-进入项目-保证金查询中进行查看。</w:t>
      </w:r>
    </w:p>
    <w:p w14:paraId="543C1135">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投标截止前，投标保证金必须通过投标人的银行基本账户一次性足额缴纳且确保到达指定账户。</w:t>
      </w:r>
    </w:p>
    <w:p w14:paraId="06DEED15">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136F24F5">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（1）保证金查询中显示“缴纳成功”即表示缴纳并关联成功。</w:t>
      </w:r>
    </w:p>
    <w:p w14:paraId="58212DA1">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（2）投标保证金必须与本项目进行关联。</w:t>
      </w:r>
    </w:p>
    <w:p w14:paraId="30561BF5">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（3）重新招标项目，参与投标的投标人仍需按上述规定要求重新递交投标保证金。</w:t>
      </w:r>
    </w:p>
    <w:p w14:paraId="1C9D10D4">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具体操作如有不明请咨询：</w:t>
      </w:r>
    </w:p>
    <w:p w14:paraId="78CE4C06">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软件公司联系电话：4009280095转5；0572-8293029；0572-5672608；0572-6065951；0572-2375013；</w:t>
      </w:r>
    </w:p>
    <w:p w14:paraId="7B549E02">
      <w:pPr>
        <w:keepNext w:val="0"/>
        <w:keepLines w:val="0"/>
        <w:pageBreakBefore w:val="0"/>
        <w:widowControl/>
        <w:kinsoku/>
        <w:wordWrap/>
        <w:overflowPunct/>
        <w:topLinePunct w:val="0"/>
        <w:autoSpaceDE/>
        <w:autoSpaceDN/>
        <w:bidi w:val="0"/>
        <w:adjustRightInd/>
        <w:spacing w:line="360" w:lineRule="exact"/>
        <w:jc w:val="left"/>
        <w:textAlignment w:val="auto"/>
        <w:rPr>
          <w:rFonts w:hint="eastAsia" w:ascii="宋体" w:hAnsi="宋体" w:eastAsia="宋体"/>
          <w:color w:val="auto"/>
          <w:sz w:val="24"/>
          <w:highlight w:val="none"/>
          <w:lang w:eastAsia="zh-CN"/>
        </w:rPr>
      </w:pPr>
      <w:r>
        <w:rPr>
          <w:rFonts w:hint="eastAsia" w:ascii="宋体" w:hAnsi="宋体" w:eastAsia="宋体" w:cs="宋体"/>
          <w:color w:val="auto"/>
          <w:sz w:val="24"/>
          <w:szCs w:val="24"/>
          <w:highlight w:val="none"/>
        </w:rPr>
        <w:t>电子保函咨询方联系方式：0572-2205678</w:t>
      </w:r>
      <w:r>
        <w:rPr>
          <w:rFonts w:hint="eastAsia" w:ascii="宋体" w:hAnsi="宋体" w:eastAsia="宋体" w:cs="宋体"/>
          <w:color w:val="auto"/>
          <w:sz w:val="24"/>
          <w:szCs w:val="24"/>
          <w:highlight w:val="none"/>
          <w:lang w:eastAsia="zh-CN"/>
        </w:rPr>
        <w:t>。</w:t>
      </w:r>
    </w:p>
    <w:p w14:paraId="678B59E4">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ascii="宋体" w:hAnsi="宋体" w:eastAsia="宋体" w:cs="宋体"/>
          <w:b/>
          <w:color w:val="auto"/>
          <w:sz w:val="24"/>
          <w:szCs w:val="24"/>
          <w:highlight w:val="none"/>
        </w:rPr>
      </w:pPr>
      <w:r>
        <w:rPr>
          <w:rFonts w:hint="eastAsia" w:ascii="宋体" w:hAnsi="宋体"/>
          <w:b/>
          <w:color w:val="auto"/>
          <w:sz w:val="24"/>
          <w:highlight w:val="none"/>
        </w:rPr>
        <w:t>十、</w:t>
      </w:r>
      <w:r>
        <w:rPr>
          <w:rFonts w:hint="eastAsia" w:ascii="宋体" w:hAnsi="宋体" w:eastAsia="宋体" w:cs="宋体"/>
          <w:b/>
          <w:color w:val="auto"/>
          <w:sz w:val="24"/>
          <w:szCs w:val="24"/>
          <w:highlight w:val="none"/>
        </w:rPr>
        <w:t xml:space="preserve">投标截止时间（同开标时间）： </w:t>
      </w:r>
      <w:r>
        <w:rPr>
          <w:rFonts w:hint="eastAsia" w:ascii="宋体" w:hAnsi="宋体" w:eastAsia="宋体" w:cs="宋体"/>
          <w:b/>
          <w:color w:val="auto"/>
          <w:sz w:val="24"/>
          <w:szCs w:val="24"/>
          <w:highlight w:val="none"/>
        </w:rPr>
        <w:t>2026年</w:t>
      </w:r>
      <w:r>
        <w:rPr>
          <w:rFonts w:hint="eastAsia" w:ascii="宋体" w:hAnsi="宋体" w:cs="宋体"/>
          <w:b/>
          <w:color w:val="auto"/>
          <w:sz w:val="24"/>
          <w:szCs w:val="24"/>
          <w:highlight w:val="none"/>
          <w:lang w:val="en-US" w:eastAsia="zh-CN"/>
        </w:rPr>
        <w:t>10</w:t>
      </w:r>
      <w:r>
        <w:rPr>
          <w:rFonts w:hint="eastAsia" w:ascii="宋体" w:hAnsi="宋体" w:eastAsia="宋体" w:cs="宋体"/>
          <w:b/>
          <w:color w:val="auto"/>
          <w:sz w:val="24"/>
          <w:szCs w:val="24"/>
          <w:highlight w:val="none"/>
        </w:rPr>
        <w:t>月</w:t>
      </w:r>
      <w:r>
        <w:rPr>
          <w:rFonts w:hint="eastAsia" w:ascii="宋体" w:hAnsi="宋体" w:cs="宋体"/>
          <w:b/>
          <w:color w:val="auto"/>
          <w:sz w:val="24"/>
          <w:szCs w:val="24"/>
          <w:highlight w:val="none"/>
          <w:lang w:val="en-US" w:eastAsia="zh-CN"/>
        </w:rPr>
        <w:t>26</w:t>
      </w:r>
      <w:r>
        <w:rPr>
          <w:rFonts w:hint="eastAsia" w:ascii="宋体" w:hAnsi="宋体" w:eastAsia="宋体" w:cs="宋体"/>
          <w:b/>
          <w:color w:val="auto"/>
          <w:sz w:val="24"/>
          <w:szCs w:val="24"/>
          <w:highlight w:val="none"/>
        </w:rPr>
        <w:t>日</w:t>
      </w:r>
      <w:r>
        <w:rPr>
          <w:rFonts w:hint="eastAsia" w:ascii="宋体" w:hAnsi="宋体" w:eastAsia="宋体" w:cs="宋体"/>
          <w:b/>
          <w:color w:val="auto"/>
          <w:sz w:val="24"/>
          <w:szCs w:val="24"/>
          <w:highlight w:val="none"/>
          <w:lang w:val="en-US" w:eastAsia="zh-CN"/>
        </w:rPr>
        <w:t>09</w:t>
      </w:r>
      <w:r>
        <w:rPr>
          <w:rFonts w:hint="eastAsia" w:ascii="宋体" w:hAnsi="宋体" w:eastAsia="宋体" w:cs="宋体"/>
          <w:b/>
          <w:color w:val="auto"/>
          <w:sz w:val="24"/>
          <w:szCs w:val="24"/>
          <w:highlight w:val="none"/>
        </w:rPr>
        <w:t>点00分；</w:t>
      </w:r>
    </w:p>
    <w:p w14:paraId="6341A6C8">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cs="Times New Roman"/>
          <w:color w:val="auto"/>
          <w:kern w:val="2"/>
          <w:highlight w:val="none"/>
        </w:rPr>
      </w:pPr>
      <w:r>
        <w:rPr>
          <w:rFonts w:hint="eastAsia" w:ascii="宋体" w:hAnsi="宋体" w:eastAsia="宋体" w:cs="宋体"/>
          <w:b/>
          <w:color w:val="auto"/>
          <w:sz w:val="24"/>
          <w:szCs w:val="24"/>
          <w:highlight w:val="none"/>
        </w:rPr>
        <w:t>十一、投标地址（同开标地址）：</w:t>
      </w:r>
      <w:r>
        <w:rPr>
          <w:rFonts w:hint="eastAsia" w:ascii="宋体" w:hAnsi="宋体" w:cs="宋体"/>
          <w:b/>
          <w:color w:val="auto"/>
          <w:sz w:val="24"/>
          <w:szCs w:val="24"/>
          <w:highlight w:val="none"/>
          <w:lang w:eastAsia="zh-CN"/>
        </w:rPr>
        <w:t>湖州市德清县曲园南路与游子街交叉口文旅集团19楼绿色采购服务平台（银泰城北入口办公区）</w:t>
      </w:r>
      <w:r>
        <w:rPr>
          <w:rFonts w:hint="eastAsia" w:cs="Times New Roman"/>
          <w:color w:val="auto"/>
          <w:kern w:val="2"/>
          <w:highlight w:val="none"/>
        </w:rPr>
        <w:t xml:space="preserve"> </w:t>
      </w:r>
    </w:p>
    <w:p w14:paraId="426F3C65">
      <w:pPr>
        <w:keepNext w:val="0"/>
        <w:keepLines w:val="0"/>
        <w:pageBreakBefore w:val="0"/>
        <w:widowControl/>
        <w:kinsoku/>
        <w:wordWrap/>
        <w:overflowPunct/>
        <w:topLinePunct w:val="0"/>
        <w:autoSpaceDE/>
        <w:autoSpaceDN/>
        <w:bidi w:val="0"/>
        <w:adjustRightInd/>
        <w:spacing w:line="360" w:lineRule="exact"/>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十二、其他事项：</w:t>
      </w:r>
    </w:p>
    <w:p w14:paraId="2107FDEB">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1.本项目不集中组织现场踏勘，需要投标单位自行联系采购单位进行现场踏勘。</w:t>
      </w:r>
    </w:p>
    <w:p w14:paraId="06CBBFD3">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2.发布公告的媒介</w:t>
      </w:r>
    </w:p>
    <w:p w14:paraId="2F02EFAC">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本次招标公告在湖州市绿色采购服务平台（http://www.hzlscgfw.cn/）上发布。</w:t>
      </w:r>
    </w:p>
    <w:p w14:paraId="1793C69C">
      <w:pPr>
        <w:keepNext w:val="0"/>
        <w:keepLines w:val="0"/>
        <w:pageBreakBefore w:val="0"/>
        <w:widowControl/>
        <w:kinsoku/>
        <w:wordWrap/>
        <w:overflowPunct/>
        <w:topLinePunct w:val="0"/>
        <w:autoSpaceDE/>
        <w:autoSpaceDN/>
        <w:bidi w:val="0"/>
        <w:adjustRightInd/>
        <w:spacing w:line="360" w:lineRule="exact"/>
        <w:jc w:val="left"/>
        <w:textAlignment w:val="auto"/>
        <w:rPr>
          <w:rFonts w:hint="eastAsia" w:ascii="宋体" w:hAnsi="宋体"/>
          <w:b/>
          <w:color w:val="auto"/>
          <w:sz w:val="24"/>
          <w:highlight w:val="none"/>
        </w:rPr>
      </w:pPr>
      <w:r>
        <w:rPr>
          <w:rFonts w:hint="eastAsia" w:ascii="宋体" w:hAnsi="宋体"/>
          <w:b/>
          <w:color w:val="auto"/>
          <w:sz w:val="24"/>
          <w:highlight w:val="none"/>
        </w:rPr>
        <w:t>十三、联系方式</w:t>
      </w:r>
    </w:p>
    <w:p w14:paraId="46CB76B0">
      <w:pPr>
        <w:keepNext w:val="0"/>
        <w:keepLines w:val="0"/>
        <w:pageBreakBefore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cs="Times New Roman"/>
          <w:color w:val="auto"/>
          <w:sz w:val="24"/>
          <w:szCs w:val="24"/>
          <w:highlight w:val="none"/>
        </w:rPr>
      </w:pPr>
      <w:r>
        <w:rPr>
          <w:rFonts w:hint="eastAsia" w:ascii="宋体" w:hAnsi="宋体"/>
          <w:color w:val="auto"/>
          <w:sz w:val="24"/>
          <w:highlight w:val="none"/>
        </w:rPr>
        <w:t>1.</w:t>
      </w:r>
      <w:r>
        <w:rPr>
          <w:rFonts w:hint="eastAsia" w:ascii="宋体" w:hAnsi="宋体" w:cs="Times New Roman"/>
          <w:color w:val="auto"/>
          <w:sz w:val="24"/>
          <w:szCs w:val="24"/>
          <w:highlight w:val="none"/>
        </w:rPr>
        <w:t>采购单位：</w:t>
      </w:r>
      <w:r>
        <w:rPr>
          <w:rFonts w:hint="eastAsia" w:ascii="宋体" w:hAnsi="宋体" w:cs="Times New Roman"/>
          <w:color w:val="auto"/>
          <w:sz w:val="24"/>
          <w:szCs w:val="24"/>
          <w:highlight w:val="none"/>
          <w:lang w:eastAsia="zh-CN"/>
        </w:rPr>
        <w:t>德清县德源旅游发展有限公司</w:t>
      </w:r>
      <w:r>
        <w:rPr>
          <w:rFonts w:hint="eastAsia" w:ascii="宋体" w:hAnsi="宋体" w:cs="Times New Roman"/>
          <w:color w:val="auto"/>
          <w:sz w:val="24"/>
          <w:szCs w:val="24"/>
          <w:highlight w:val="none"/>
        </w:rPr>
        <w:t xml:space="preserve">    </w:t>
      </w:r>
    </w:p>
    <w:p w14:paraId="2AFC35CE">
      <w:pPr>
        <w:keepNext w:val="0"/>
        <w:keepLines w:val="0"/>
        <w:pageBreakBefore w:val="0"/>
        <w:kinsoku/>
        <w:wordWrap/>
        <w:overflowPunct/>
        <w:topLinePunct w:val="0"/>
        <w:autoSpaceDE/>
        <w:autoSpaceDN/>
        <w:bidi w:val="0"/>
        <w:adjustRightInd/>
        <w:snapToGrid w:val="0"/>
        <w:spacing w:line="360" w:lineRule="exact"/>
        <w:ind w:firstLine="480" w:firstLineChars="200"/>
        <w:textAlignment w:val="auto"/>
        <w:rPr>
          <w:rFonts w:hint="default"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rPr>
        <w:t>联系人：</w:t>
      </w:r>
      <w:r>
        <w:rPr>
          <w:rFonts w:hint="eastAsia" w:ascii="宋体" w:hAnsi="宋体" w:cs="Times New Roman"/>
          <w:color w:val="auto"/>
          <w:sz w:val="24"/>
          <w:szCs w:val="24"/>
          <w:highlight w:val="none"/>
          <w:lang w:val="en-US" w:eastAsia="zh-CN"/>
        </w:rPr>
        <w:t>严</w:t>
      </w:r>
      <w:r>
        <w:rPr>
          <w:rFonts w:hint="eastAsia" w:ascii="宋体" w:hAnsi="宋体" w:cs="Times New Roman"/>
          <w:color w:val="auto"/>
          <w:sz w:val="24"/>
          <w:szCs w:val="24"/>
          <w:highlight w:val="none"/>
        </w:rPr>
        <w:t>女士</w:t>
      </w:r>
      <w:r>
        <w:rPr>
          <w:rFonts w:hint="eastAsia" w:ascii="宋体" w:hAnsi="宋体" w:cs="Times New Roman"/>
          <w:color w:val="auto"/>
          <w:sz w:val="24"/>
          <w:szCs w:val="24"/>
          <w:highlight w:val="none"/>
          <w:lang w:val="en-US" w:eastAsia="zh-CN"/>
        </w:rPr>
        <w:t xml:space="preserve">       </w:t>
      </w:r>
      <w:r>
        <w:rPr>
          <w:rFonts w:hint="eastAsia" w:ascii="宋体" w:hAnsi="宋体" w:cs="Times New Roman"/>
          <w:color w:val="auto"/>
          <w:sz w:val="24"/>
          <w:szCs w:val="24"/>
          <w:highlight w:val="none"/>
          <w:lang w:val="en-US" w:eastAsia="zh-CN"/>
        </w:rPr>
        <w:t xml:space="preserve"> </w:t>
      </w:r>
      <w:r>
        <w:rPr>
          <w:rFonts w:hint="eastAsia" w:ascii="宋体" w:hAnsi="宋体" w:cs="Times New Roman"/>
          <w:color w:val="auto"/>
          <w:sz w:val="24"/>
          <w:szCs w:val="24"/>
          <w:highlight w:val="none"/>
        </w:rPr>
        <w:t>联系电话：0572-</w:t>
      </w:r>
      <w:r>
        <w:rPr>
          <w:rFonts w:hint="eastAsia" w:ascii="宋体" w:hAnsi="宋体" w:cs="Times New Roman"/>
          <w:color w:val="auto"/>
          <w:sz w:val="24"/>
          <w:szCs w:val="24"/>
          <w:highlight w:val="none"/>
          <w:lang w:val="en-US" w:eastAsia="zh-CN"/>
        </w:rPr>
        <w:t>8283057</w:t>
      </w:r>
    </w:p>
    <w:p w14:paraId="7725345A">
      <w:pPr>
        <w:keepNext w:val="0"/>
        <w:keepLines w:val="0"/>
        <w:pageBreakBefore w:val="0"/>
        <w:kinsoku/>
        <w:wordWrap/>
        <w:overflowPunct/>
        <w:topLinePunct w:val="0"/>
        <w:autoSpaceDE/>
        <w:autoSpaceDN/>
        <w:bidi w:val="0"/>
        <w:adjustRightInd/>
        <w:snapToGrid w:val="0"/>
        <w:spacing w:line="360" w:lineRule="exact"/>
        <w:ind w:firstLine="540" w:firstLineChars="225"/>
        <w:textAlignment w:val="auto"/>
        <w:rPr>
          <w:rFonts w:hint="eastAsia" w:ascii="宋体" w:hAnsi="宋体" w:eastAsia="宋体" w:cs="Arial"/>
          <w:color w:val="auto"/>
          <w:sz w:val="24"/>
          <w:szCs w:val="20"/>
          <w:highlight w:val="none"/>
          <w:lang w:eastAsia="zh-CN"/>
        </w:rPr>
      </w:pPr>
      <w:r>
        <w:rPr>
          <w:rFonts w:hint="eastAsia" w:ascii="宋体" w:hAnsi="宋体" w:cs="Arial"/>
          <w:color w:val="auto"/>
          <w:sz w:val="24"/>
          <w:szCs w:val="20"/>
          <w:highlight w:val="none"/>
        </w:rPr>
        <w:t>2.采购代理公司名称：</w:t>
      </w:r>
      <w:r>
        <w:rPr>
          <w:rFonts w:hint="eastAsia" w:ascii="宋体" w:hAnsi="宋体" w:cs="Arial"/>
          <w:color w:val="auto"/>
          <w:sz w:val="24"/>
          <w:szCs w:val="20"/>
          <w:highlight w:val="none"/>
          <w:lang w:eastAsia="zh-CN"/>
        </w:rPr>
        <w:t>浙江省房地产管理咨询有限公司</w:t>
      </w:r>
    </w:p>
    <w:p w14:paraId="5105C77E">
      <w:pPr>
        <w:keepNext w:val="0"/>
        <w:keepLines w:val="0"/>
        <w:pageBreakBefore w:val="0"/>
        <w:kinsoku/>
        <w:wordWrap/>
        <w:overflowPunct/>
        <w:topLinePunct w:val="0"/>
        <w:autoSpaceDE/>
        <w:autoSpaceDN/>
        <w:bidi w:val="0"/>
        <w:adjustRightInd/>
        <w:snapToGrid w:val="0"/>
        <w:spacing w:line="360" w:lineRule="exact"/>
        <w:ind w:firstLine="540" w:firstLineChars="225"/>
        <w:textAlignment w:val="auto"/>
        <w:rPr>
          <w:rFonts w:hint="default" w:ascii="宋体" w:hAnsi="宋体" w:eastAsia="宋体" w:cs="Arial"/>
          <w:color w:val="auto"/>
          <w:sz w:val="24"/>
          <w:szCs w:val="20"/>
          <w:highlight w:val="none"/>
          <w:lang w:val="en-US" w:eastAsia="zh-CN"/>
        </w:rPr>
      </w:pPr>
      <w:r>
        <w:rPr>
          <w:rFonts w:hint="eastAsia" w:ascii="宋体" w:hAnsi="宋体" w:cs="Arial"/>
          <w:color w:val="auto"/>
          <w:sz w:val="24"/>
          <w:szCs w:val="20"/>
          <w:highlight w:val="none"/>
        </w:rPr>
        <w:t>联系人：</w:t>
      </w:r>
      <w:r>
        <w:rPr>
          <w:rFonts w:hint="eastAsia" w:ascii="宋体" w:hAnsi="宋体" w:cs="Arial"/>
          <w:color w:val="auto"/>
          <w:sz w:val="24"/>
          <w:szCs w:val="20"/>
          <w:highlight w:val="none"/>
          <w:lang w:val="en-US" w:eastAsia="zh-CN"/>
        </w:rPr>
        <w:t xml:space="preserve">范工、杨工    </w:t>
      </w:r>
      <w:r>
        <w:rPr>
          <w:rFonts w:hint="eastAsia" w:ascii="宋体" w:hAnsi="宋体" w:cs="Arial"/>
          <w:color w:val="auto"/>
          <w:sz w:val="24"/>
          <w:szCs w:val="20"/>
          <w:highlight w:val="none"/>
        </w:rPr>
        <w:t>联系电话：0572-</w:t>
      </w:r>
      <w:r>
        <w:rPr>
          <w:rFonts w:hint="eastAsia" w:ascii="宋体" w:hAnsi="宋体" w:cs="Arial"/>
          <w:color w:val="auto"/>
          <w:sz w:val="24"/>
          <w:szCs w:val="20"/>
          <w:highlight w:val="none"/>
          <w:lang w:val="en-US" w:eastAsia="zh-CN"/>
        </w:rPr>
        <w:t>8466202</w:t>
      </w:r>
    </w:p>
    <w:p w14:paraId="73CB1732">
      <w:pPr>
        <w:keepNext w:val="0"/>
        <w:keepLines w:val="0"/>
        <w:pageBreakBefore w:val="0"/>
        <w:kinsoku/>
        <w:wordWrap/>
        <w:overflowPunct/>
        <w:topLinePunct w:val="0"/>
        <w:autoSpaceDE/>
        <w:autoSpaceDN/>
        <w:bidi w:val="0"/>
        <w:adjustRightInd/>
        <w:snapToGrid w:val="0"/>
        <w:spacing w:line="360" w:lineRule="exact"/>
        <w:ind w:firstLine="540" w:firstLineChars="225"/>
        <w:textAlignment w:val="auto"/>
        <w:rPr>
          <w:rFonts w:hint="eastAsia" w:ascii="宋体" w:hAnsi="宋体" w:cs="Arial"/>
          <w:color w:val="auto"/>
          <w:sz w:val="24"/>
          <w:szCs w:val="20"/>
          <w:highlight w:val="none"/>
        </w:rPr>
      </w:pPr>
      <w:r>
        <w:rPr>
          <w:rFonts w:hint="eastAsia" w:ascii="宋体" w:hAnsi="宋体" w:cs="Arial"/>
          <w:color w:val="auto"/>
          <w:sz w:val="24"/>
          <w:szCs w:val="20"/>
          <w:highlight w:val="none"/>
        </w:rPr>
        <w:t>地址：浙江省杭州市拱墅区绍兴路536号12层1201-1203室 1205-1208室</w:t>
      </w:r>
    </w:p>
    <w:p w14:paraId="4AC1E0A3">
      <w:pPr>
        <w:keepNext w:val="0"/>
        <w:keepLines w:val="0"/>
        <w:pageBreakBefore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cs="Arial"/>
          <w:color w:val="auto"/>
          <w:sz w:val="24"/>
          <w:szCs w:val="20"/>
          <w:highlight w:val="none"/>
        </w:rPr>
      </w:pPr>
      <w:r>
        <w:rPr>
          <w:rFonts w:hint="eastAsia" w:ascii="宋体" w:hAnsi="宋体" w:cs="Arial"/>
          <w:color w:val="auto"/>
          <w:sz w:val="24"/>
          <w:szCs w:val="20"/>
          <w:highlight w:val="none"/>
        </w:rPr>
        <w:t>3.备案单位：</w:t>
      </w:r>
      <w:r>
        <w:rPr>
          <w:rFonts w:hint="eastAsia" w:ascii="宋体" w:hAnsi="宋体" w:cs="Arial"/>
          <w:color w:val="auto"/>
          <w:sz w:val="24"/>
          <w:szCs w:val="20"/>
          <w:highlight w:val="none"/>
          <w:lang w:eastAsia="zh-CN"/>
        </w:rPr>
        <w:t>德清县文化旅游发展集团有限公司交易中心</w:t>
      </w:r>
      <w:r>
        <w:rPr>
          <w:rFonts w:hint="eastAsia" w:ascii="宋体" w:hAnsi="宋体" w:cs="Arial"/>
          <w:color w:val="auto"/>
          <w:sz w:val="24"/>
          <w:szCs w:val="20"/>
          <w:highlight w:val="none"/>
        </w:rPr>
        <w:t xml:space="preserve"> </w:t>
      </w:r>
    </w:p>
    <w:p w14:paraId="60C9094D">
      <w:pPr>
        <w:keepNext w:val="0"/>
        <w:keepLines w:val="0"/>
        <w:pageBreakBefore w:val="0"/>
        <w:kinsoku/>
        <w:wordWrap/>
        <w:overflowPunct/>
        <w:topLinePunct w:val="0"/>
        <w:autoSpaceDE/>
        <w:autoSpaceDN/>
        <w:bidi w:val="0"/>
        <w:adjustRightInd/>
        <w:snapToGrid w:val="0"/>
        <w:spacing w:line="360" w:lineRule="exact"/>
        <w:ind w:firstLine="540" w:firstLineChars="225"/>
        <w:textAlignment w:val="auto"/>
        <w:rPr>
          <w:rFonts w:hint="eastAsia" w:ascii="宋体" w:hAnsi="宋体" w:cs="Arial"/>
          <w:color w:val="auto"/>
          <w:sz w:val="24"/>
          <w:szCs w:val="20"/>
          <w:highlight w:val="none"/>
        </w:rPr>
      </w:pPr>
      <w:r>
        <w:rPr>
          <w:rFonts w:hint="eastAsia" w:ascii="宋体" w:hAnsi="宋体" w:cs="Arial"/>
          <w:color w:val="auto"/>
          <w:sz w:val="24"/>
          <w:szCs w:val="20"/>
          <w:highlight w:val="none"/>
          <w:lang w:val="en-US" w:eastAsia="zh-CN"/>
        </w:rPr>
        <w:t xml:space="preserve">联系人：秦先生        </w:t>
      </w:r>
      <w:r>
        <w:rPr>
          <w:rFonts w:hint="eastAsia" w:ascii="宋体" w:hAnsi="宋体" w:cs="Arial"/>
          <w:color w:val="auto"/>
          <w:sz w:val="24"/>
          <w:szCs w:val="20"/>
          <w:highlight w:val="none"/>
        </w:rPr>
        <w:t xml:space="preserve">联系电话: 0572-8063517 </w:t>
      </w:r>
    </w:p>
    <w:p w14:paraId="7725EB7B">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b/>
          <w:color w:val="auto"/>
          <w:sz w:val="24"/>
          <w:szCs w:val="24"/>
          <w:highlight w:val="none"/>
        </w:rPr>
      </w:pPr>
      <w:bookmarkStart w:id="9" w:name="_GoBack"/>
      <w:bookmarkEnd w:id="9"/>
      <w:r>
        <w:rPr>
          <w:rFonts w:hint="eastAsia" w:ascii="宋体" w:hAnsi="宋体" w:eastAsia="宋体" w:cs="宋体"/>
          <w:b/>
          <w:color w:val="auto"/>
          <w:sz w:val="24"/>
          <w:szCs w:val="24"/>
          <w:highlight w:val="none"/>
        </w:rPr>
        <w:t>十四、软件技术支持</w:t>
      </w:r>
    </w:p>
    <w:p w14:paraId="5E54633A">
      <w:pPr>
        <w:keepNext w:val="0"/>
        <w:keepLines w:val="0"/>
        <w:pageBreakBefore w:val="0"/>
        <w:widowControl w:val="0"/>
        <w:kinsoku/>
        <w:wordWrap/>
        <w:overflowPunct/>
        <w:topLinePunct w:val="0"/>
        <w:autoSpaceDE/>
        <w:autoSpaceDN/>
        <w:bidi w:val="0"/>
        <w:adjustRightInd/>
        <w:snapToGrid w:val="0"/>
        <w:spacing w:line="36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电话：4009280095转5；0572-8293029；0572-5672608；0572-6065951；0572-2375013</w:t>
      </w:r>
    </w:p>
    <w:p w14:paraId="39FFEFF1">
      <w:pPr>
        <w:keepNext w:val="0"/>
        <w:keepLines w:val="0"/>
        <w:pageBreakBefore w:val="0"/>
        <w:widowControl w:val="0"/>
        <w:kinsoku/>
        <w:wordWrap/>
        <w:overflowPunct/>
        <w:topLinePunct w:val="0"/>
        <w:autoSpaceDE/>
        <w:autoSpaceDN/>
        <w:bidi w:val="0"/>
        <w:adjustRightInd/>
        <w:snapToGrid w:val="0"/>
        <w:spacing w:line="36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CA锁相关问题咨询杭州天谷客服    电话 ：4000878198</w:t>
      </w:r>
    </w:p>
    <w:p w14:paraId="3444E110">
      <w:pPr>
        <w:keepNext w:val="0"/>
        <w:keepLines w:val="0"/>
        <w:pageBreakBefore w:val="0"/>
        <w:widowControl w:val="0"/>
        <w:kinsoku/>
        <w:wordWrap/>
        <w:overflowPunct/>
        <w:topLinePunct w:val="0"/>
        <w:autoSpaceDE/>
        <w:autoSpaceDN/>
        <w:bidi w:val="0"/>
        <w:adjustRightInd/>
        <w:snapToGrid w:val="0"/>
        <w:spacing w:line="36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采购平台：湖州市绿色采购服务平台德清分中心</w:t>
      </w:r>
    </w:p>
    <w:p w14:paraId="20DD01F6">
      <w:pPr>
        <w:keepNext w:val="0"/>
        <w:keepLines w:val="0"/>
        <w:pageBreakBefore w:val="0"/>
        <w:widowControl w:val="0"/>
        <w:kinsoku/>
        <w:wordWrap/>
        <w:overflowPunct/>
        <w:topLinePunct w:val="0"/>
        <w:autoSpaceDE/>
        <w:autoSpaceDN/>
        <w:bidi w:val="0"/>
        <w:adjustRightInd/>
        <w:snapToGrid w:val="0"/>
        <w:spacing w:line="36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地址：湖州市德清县曲园南路与游子街交叉口文旅集团19楼绿色采购服务平台（银泰城北入口办公区）</w:t>
      </w:r>
    </w:p>
    <w:p w14:paraId="1056C11D">
      <w:pPr>
        <w:keepNext w:val="0"/>
        <w:keepLines w:val="0"/>
        <w:pageBreakBefore w:val="0"/>
        <w:widowControl w:val="0"/>
        <w:kinsoku/>
        <w:wordWrap/>
        <w:overflowPunct/>
        <w:topLinePunct w:val="0"/>
        <w:autoSpaceDE/>
        <w:autoSpaceDN/>
        <w:bidi w:val="0"/>
        <w:adjustRightInd/>
        <w:snapToGrid w:val="0"/>
        <w:spacing w:line="36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联系人：沈女士      电话：0572-8293029</w:t>
      </w:r>
    </w:p>
    <w:p w14:paraId="1DAE30A0">
      <w:pPr>
        <w:keepNext w:val="0"/>
        <w:keepLines w:val="0"/>
        <w:pageBreakBefore w:val="0"/>
        <w:widowControl/>
        <w:kinsoku/>
        <w:wordWrap/>
        <w:overflowPunct/>
        <w:topLinePunct w:val="0"/>
        <w:autoSpaceDE/>
        <w:autoSpaceDN/>
        <w:bidi w:val="0"/>
        <w:adjustRightInd/>
        <w:spacing w:line="360" w:lineRule="exact"/>
        <w:ind w:left="0" w:leftChars="0"/>
        <w:jc w:val="left"/>
        <w:textAlignment w:val="auto"/>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远程不见面开标：是指将传统的开标场所搬到网上，招标人、投标人只需登录网上不见面开标大厅，无需到投标会议现场参与即可进行投标文件在线解密、投标人在线质疑、招标人在线回复等操作。</w:t>
      </w:r>
    </w:p>
    <w:p w14:paraId="700B83C4">
      <w:pPr>
        <w:keepNext w:val="0"/>
        <w:keepLines w:val="0"/>
        <w:pageBreakBefore w:val="0"/>
        <w:widowControl/>
        <w:kinsoku/>
        <w:wordWrap/>
        <w:overflowPunct/>
        <w:topLinePunct w:val="0"/>
        <w:autoSpaceDE/>
        <w:autoSpaceDN/>
        <w:bidi w:val="0"/>
        <w:adjustRightInd/>
        <w:spacing w:line="340" w:lineRule="exact"/>
        <w:ind w:left="0" w:leftChars="0"/>
        <w:jc w:val="left"/>
        <w:textAlignment w:val="auto"/>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CA 锁和湖州市公共资源交易系统通用。</w:t>
      </w:r>
    </w:p>
    <w:p w14:paraId="5BEA5DDF">
      <w:pPr>
        <w:snapToGrid w:val="0"/>
        <w:spacing w:before="120" w:beforeLines="50" w:after="120" w:afterLines="50" w:line="360" w:lineRule="auto"/>
        <w:ind w:firstLine="2400" w:firstLineChars="1000"/>
        <w:jc w:val="right"/>
        <w:outlineLvl w:val="0"/>
        <w:rPr>
          <w:rFonts w:hint="eastAsia" w:ascii="宋体" w:hAnsi="宋体"/>
          <w:b/>
          <w:bCs/>
          <w:color w:val="auto"/>
          <w:sz w:val="30"/>
          <w:szCs w:val="30"/>
          <w:highlight w:val="none"/>
        </w:rPr>
      </w:pPr>
      <w:bookmarkStart w:id="3" w:name="_Toc14404"/>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rPr>
        <w:t>日</w:t>
      </w:r>
    </w:p>
    <w:p w14:paraId="5891EE50">
      <w:pPr>
        <w:keepNext w:val="0"/>
        <w:keepLines w:val="0"/>
        <w:pageBreakBefore w:val="0"/>
        <w:widowControl w:val="0"/>
        <w:kinsoku/>
        <w:wordWrap/>
        <w:overflowPunct/>
        <w:topLinePunct w:val="0"/>
        <w:autoSpaceDE/>
        <w:autoSpaceDN/>
        <w:bidi w:val="0"/>
        <w:adjustRightInd/>
        <w:snapToGrid w:val="0"/>
        <w:spacing w:before="120" w:beforeLines="50" w:after="120" w:afterLines="50" w:line="400" w:lineRule="exact"/>
        <w:ind w:firstLine="0" w:firstLineChars="0"/>
        <w:jc w:val="center"/>
        <w:textAlignment w:val="auto"/>
        <w:outlineLvl w:val="0"/>
        <w:rPr>
          <w:rFonts w:hint="eastAsia" w:ascii="宋体" w:hAnsi="宋体"/>
          <w:b/>
          <w:bCs/>
          <w:color w:val="auto"/>
          <w:sz w:val="30"/>
          <w:szCs w:val="30"/>
          <w:highlight w:val="none"/>
        </w:rPr>
      </w:pPr>
      <w:r>
        <w:rPr>
          <w:rFonts w:hint="eastAsia" w:ascii="宋体" w:hAnsi="宋体"/>
          <w:b/>
          <w:bCs/>
          <w:color w:val="auto"/>
          <w:sz w:val="30"/>
          <w:szCs w:val="30"/>
          <w:highlight w:val="none"/>
        </w:rPr>
        <w:t>第二章 招标需求</w:t>
      </w:r>
      <w:bookmarkEnd w:id="3"/>
    </w:p>
    <w:p w14:paraId="0844D3A6">
      <w:pPr>
        <w:snapToGrid w:val="0"/>
        <w:spacing w:before="120" w:beforeLines="50" w:after="120" w:afterLines="50" w:line="400" w:lineRule="exact"/>
        <w:jc w:val="center"/>
        <w:rPr>
          <w:rFonts w:hint="eastAsia" w:ascii="宋体" w:hAnsi="宋体"/>
          <w:color w:val="auto"/>
          <w:sz w:val="30"/>
          <w:szCs w:val="30"/>
          <w:highlight w:val="none"/>
        </w:rPr>
      </w:pPr>
      <w:r>
        <w:rPr>
          <w:rFonts w:hint="eastAsia" w:ascii="宋体" w:hAnsi="宋体"/>
          <w:b/>
          <w:color w:val="auto"/>
          <w:sz w:val="28"/>
          <w:szCs w:val="28"/>
          <w:highlight w:val="none"/>
        </w:rPr>
        <w:t>（加▲号项需实质性响应）</w:t>
      </w:r>
    </w:p>
    <w:p w14:paraId="53530DDF">
      <w:pPr>
        <w:keepNext w:val="0"/>
        <w:keepLines w:val="0"/>
        <w:pageBreakBefore w:val="0"/>
        <w:kinsoku/>
        <w:wordWrap/>
        <w:overflowPunct/>
        <w:topLinePunct w:val="0"/>
        <w:autoSpaceDN/>
        <w:bidi w:val="0"/>
        <w:adjustRightInd/>
        <w:spacing w:line="400" w:lineRule="exact"/>
        <w:ind w:right="0" w:rightChars="0"/>
        <w:textAlignment w:val="auto"/>
        <w:rPr>
          <w:rFonts w:hint="eastAsia" w:ascii="宋体" w:hAnsi="宋体"/>
          <w:b/>
          <w:color w:val="auto"/>
          <w:sz w:val="24"/>
          <w:highlight w:val="none"/>
        </w:rPr>
      </w:pPr>
      <w:r>
        <w:rPr>
          <w:rFonts w:hint="eastAsia" w:ascii="宋体" w:hAnsi="宋体"/>
          <w:b/>
          <w:color w:val="auto"/>
          <w:sz w:val="24"/>
          <w:highlight w:val="none"/>
        </w:rPr>
        <w:t>一、说明</w:t>
      </w:r>
    </w:p>
    <w:p w14:paraId="3980DA9B">
      <w:pPr>
        <w:keepNext w:val="0"/>
        <w:keepLines w:val="0"/>
        <w:pageBreakBefore w:val="0"/>
        <w:kinsoku/>
        <w:wordWrap/>
        <w:overflowPunct/>
        <w:topLinePunct w:val="0"/>
        <w:autoSpaceDN/>
        <w:bidi w:val="0"/>
        <w:adjustRightInd/>
        <w:spacing w:line="400" w:lineRule="exact"/>
        <w:ind w:right="0" w:rightChars="0" w:firstLine="480" w:firstLineChars="200"/>
        <w:textAlignment w:val="auto"/>
        <w:rPr>
          <w:color w:val="auto"/>
          <w:sz w:val="24"/>
          <w:highlight w:val="none"/>
        </w:rPr>
      </w:pPr>
      <w:r>
        <w:rPr>
          <w:rFonts w:hint="eastAsia"/>
          <w:color w:val="auto"/>
          <w:sz w:val="24"/>
          <w:highlight w:val="none"/>
        </w:rPr>
        <w:t>本招标文件所提出的货物和服务技术标准是基本的技术标准和使用功能，并未规定所有的技术要求和适用标准，供应商应提供一套满足所列标准要求的高质量的相应货物和服务。本技术要求使用的标准如与供应商所执行标准发生矛盾时，按较高标准执行。</w:t>
      </w:r>
    </w:p>
    <w:p w14:paraId="7364165A">
      <w:pPr>
        <w:keepNext w:val="0"/>
        <w:keepLines w:val="0"/>
        <w:pageBreakBefore w:val="0"/>
        <w:kinsoku/>
        <w:wordWrap/>
        <w:overflowPunct/>
        <w:topLinePunct w:val="0"/>
        <w:autoSpaceDN/>
        <w:bidi w:val="0"/>
        <w:adjustRightInd/>
        <w:spacing w:line="400" w:lineRule="exact"/>
        <w:ind w:right="0" w:rightChars="0"/>
        <w:textAlignment w:val="auto"/>
        <w:rPr>
          <w:rFonts w:hint="eastAsia" w:ascii="宋体" w:hAnsi="宋体"/>
          <w:b/>
          <w:color w:val="auto"/>
          <w:sz w:val="24"/>
          <w:highlight w:val="none"/>
        </w:rPr>
      </w:pPr>
      <w:r>
        <w:rPr>
          <w:rFonts w:hint="eastAsia" w:ascii="宋体" w:hAnsi="宋体"/>
          <w:b/>
          <w:color w:val="auto"/>
          <w:sz w:val="24"/>
          <w:highlight w:val="none"/>
        </w:rPr>
        <w:t>二、招标项目内容</w:t>
      </w:r>
    </w:p>
    <w:p w14:paraId="1BB8CD4A">
      <w:pPr>
        <w:keepNext w:val="0"/>
        <w:keepLines w:val="0"/>
        <w:pageBreakBefore w:val="0"/>
        <w:kinsoku/>
        <w:wordWrap/>
        <w:overflowPunct/>
        <w:topLinePunct w:val="0"/>
        <w:autoSpaceDN/>
        <w:bidi w:val="0"/>
        <w:adjustRightInd/>
        <w:spacing w:line="400" w:lineRule="exact"/>
        <w:ind w:right="0" w:rightChars="0"/>
        <w:textAlignment w:val="auto"/>
        <w:rPr>
          <w:rFonts w:ascii="宋体" w:hAnsi="宋体" w:cs="宋体"/>
          <w:b/>
          <w:bCs/>
          <w:color w:val="auto"/>
          <w:sz w:val="24"/>
          <w:szCs w:val="24"/>
          <w:highlight w:val="none"/>
        </w:rPr>
      </w:pPr>
      <w:r>
        <w:rPr>
          <w:rFonts w:hint="eastAsia" w:ascii="宋体" w:hAnsi="宋体" w:cs="宋体"/>
          <w:b/>
          <w:bCs/>
          <w:color w:val="auto"/>
          <w:sz w:val="24"/>
          <w:szCs w:val="24"/>
          <w:highlight w:val="none"/>
        </w:rPr>
        <w:t>（一）项目内容：</w:t>
      </w:r>
    </w:p>
    <w:p w14:paraId="12516F96">
      <w:pPr>
        <w:keepNext w:val="0"/>
        <w:keepLines w:val="0"/>
        <w:pageBreakBefore w:val="0"/>
        <w:kinsoku/>
        <w:wordWrap/>
        <w:overflowPunct/>
        <w:topLinePunct w:val="0"/>
        <w:autoSpaceDN/>
        <w:bidi w:val="0"/>
        <w:adjustRightInd/>
        <w:snapToGrid w:val="0"/>
        <w:spacing w:line="400" w:lineRule="exact"/>
        <w:ind w:left="0" w:right="0" w:rightChars="0"/>
        <w:textAlignment w:val="auto"/>
        <w:outlineLvl w:val="9"/>
        <w:rPr>
          <w:rFonts w:hint="eastAsia"/>
          <w:color w:val="auto"/>
          <w:sz w:val="24"/>
          <w:highlight w:val="none"/>
          <w:lang w:val="en-US" w:eastAsia="zh-CN"/>
        </w:rPr>
      </w:pPr>
      <w:r>
        <w:rPr>
          <w:rFonts w:hint="eastAsia"/>
          <w:color w:val="auto"/>
          <w:sz w:val="24"/>
          <w:highlight w:val="none"/>
        </w:rPr>
        <w:t xml:space="preserve">     为积极践行绿色发展理念，守护“德清蓝”，增强景区市场竞争力和美誉度，申请对德清窑烧制过程中产生的烟气进行专业治理，确保窑炉运行符合环保要求，找一家空气治理单位进行空气治理，包括设备采购、安装及维保</w:t>
      </w:r>
      <w:r>
        <w:rPr>
          <w:rFonts w:hint="eastAsia"/>
          <w:color w:val="auto"/>
          <w:sz w:val="24"/>
          <w:highlight w:val="none"/>
          <w:lang w:val="en-US" w:eastAsia="zh-CN"/>
        </w:rPr>
        <w:t>等服务。</w:t>
      </w:r>
    </w:p>
    <w:p w14:paraId="17AC86C2">
      <w:pPr>
        <w:keepNext w:val="0"/>
        <w:keepLines w:val="0"/>
        <w:pageBreakBefore w:val="0"/>
        <w:kinsoku/>
        <w:wordWrap/>
        <w:overflowPunct/>
        <w:topLinePunct w:val="0"/>
        <w:autoSpaceDN/>
        <w:bidi w:val="0"/>
        <w:adjustRightInd/>
        <w:spacing w:line="400" w:lineRule="exact"/>
        <w:ind w:right="0" w:rightChars="0" w:firstLine="562" w:firstLineChars="200"/>
        <w:textAlignment w:val="auto"/>
        <w:rPr>
          <w:rFonts w:hint="eastAsia" w:ascii="宋体" w:hAnsi="宋体" w:cs="宋体"/>
          <w:b/>
          <w:bCs/>
          <w:color w:val="auto"/>
          <w:sz w:val="24"/>
          <w:szCs w:val="24"/>
          <w:highlight w:val="none"/>
        </w:rPr>
      </w:pPr>
      <w:r>
        <w:rPr>
          <w:rFonts w:hint="eastAsia" w:ascii="宋体" w:hAnsi="宋体"/>
          <w:b/>
          <w:color w:val="auto"/>
          <w:sz w:val="28"/>
          <w:szCs w:val="28"/>
          <w:highlight w:val="none"/>
        </w:rPr>
        <w:t>▲</w:t>
      </w:r>
      <w:r>
        <w:rPr>
          <w:rFonts w:hint="eastAsia" w:ascii="宋体" w:hAnsi="宋体" w:cs="宋体"/>
          <w:b/>
          <w:bCs/>
          <w:color w:val="auto"/>
          <w:sz w:val="24"/>
          <w:szCs w:val="24"/>
          <w:highlight w:val="none"/>
          <w:lang w:val="en-US" w:eastAsia="zh-CN"/>
        </w:rPr>
        <w:t>清单如下：</w:t>
      </w:r>
      <w:r>
        <w:rPr>
          <w:rFonts w:hint="eastAsia" w:ascii="宋体" w:hAnsi="宋体" w:cs="宋体"/>
          <w:b/>
          <w:bCs/>
          <w:color w:val="auto"/>
          <w:sz w:val="24"/>
          <w:szCs w:val="24"/>
          <w:highlight w:val="none"/>
        </w:rPr>
        <w:t xml:space="preserve">  </w:t>
      </w:r>
    </w:p>
    <w:tbl>
      <w:tblPr>
        <w:tblStyle w:val="18"/>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866"/>
        <w:gridCol w:w="5839"/>
        <w:gridCol w:w="1070"/>
      </w:tblGrid>
      <w:tr w14:paraId="7463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437" w:type="pct"/>
            <w:vAlign w:val="center"/>
          </w:tcPr>
          <w:p w14:paraId="1F4EA628">
            <w:pPr>
              <w:jc w:val="center"/>
              <w:rPr>
                <w:rFonts w:ascii="Times New Roman" w:hAnsi="Times New Roman" w:eastAsia="宋体" w:cs="Times New Roman"/>
                <w:b/>
                <w:bCs/>
                <w:color w:val="auto"/>
                <w:sz w:val="24"/>
                <w:szCs w:val="24"/>
                <w:highlight w:val="none"/>
              </w:rPr>
            </w:pPr>
            <w:r>
              <w:rPr>
                <w:rFonts w:ascii="Times New Roman" w:hAnsi="Times New Roman" w:eastAsia="宋体" w:cs="Times New Roman"/>
                <w:b/>
                <w:bCs/>
                <w:color w:val="auto"/>
                <w:sz w:val="24"/>
                <w:szCs w:val="24"/>
                <w:highlight w:val="none"/>
              </w:rPr>
              <w:t>序号</w:t>
            </w:r>
          </w:p>
        </w:tc>
        <w:tc>
          <w:tcPr>
            <w:tcW w:w="970" w:type="pct"/>
            <w:vAlign w:val="center"/>
          </w:tcPr>
          <w:p w14:paraId="33493954">
            <w:pPr>
              <w:jc w:val="center"/>
              <w:rPr>
                <w:rFonts w:ascii="Times New Roman" w:hAnsi="Times New Roman" w:eastAsia="宋体" w:cs="Times New Roman"/>
                <w:b/>
                <w:bCs/>
                <w:color w:val="auto"/>
                <w:sz w:val="24"/>
                <w:szCs w:val="24"/>
                <w:highlight w:val="none"/>
              </w:rPr>
            </w:pPr>
            <w:r>
              <w:rPr>
                <w:rFonts w:ascii="Times New Roman" w:hAnsi="Times New Roman" w:eastAsia="宋体" w:cs="Times New Roman"/>
                <w:b/>
                <w:bCs/>
                <w:color w:val="auto"/>
                <w:sz w:val="24"/>
                <w:szCs w:val="24"/>
                <w:highlight w:val="none"/>
              </w:rPr>
              <w:t>品名</w:t>
            </w:r>
          </w:p>
        </w:tc>
        <w:tc>
          <w:tcPr>
            <w:tcW w:w="3035" w:type="pct"/>
            <w:vAlign w:val="center"/>
          </w:tcPr>
          <w:p w14:paraId="4741A53C">
            <w:pPr>
              <w:jc w:val="center"/>
              <w:rPr>
                <w:rFonts w:ascii="Times New Roman" w:hAnsi="Times New Roman" w:eastAsia="宋体" w:cs="Times New Roman"/>
                <w:b/>
                <w:bCs/>
                <w:color w:val="auto"/>
                <w:sz w:val="24"/>
                <w:szCs w:val="24"/>
                <w:highlight w:val="none"/>
              </w:rPr>
            </w:pPr>
            <w:r>
              <w:rPr>
                <w:rFonts w:ascii="Times New Roman" w:hAnsi="Times New Roman" w:eastAsia="宋体" w:cs="Times New Roman"/>
                <w:b/>
                <w:bCs/>
                <w:color w:val="auto"/>
                <w:sz w:val="24"/>
                <w:szCs w:val="24"/>
                <w:highlight w:val="none"/>
              </w:rPr>
              <w:t>规格及尺寸</w:t>
            </w:r>
          </w:p>
        </w:tc>
        <w:tc>
          <w:tcPr>
            <w:tcW w:w="556" w:type="pct"/>
            <w:vAlign w:val="center"/>
          </w:tcPr>
          <w:p w14:paraId="4518F2A0">
            <w:pPr>
              <w:jc w:val="center"/>
              <w:rPr>
                <w:rFonts w:ascii="Times New Roman" w:hAnsi="Times New Roman" w:eastAsia="宋体" w:cs="Times New Roman"/>
                <w:b/>
                <w:bCs/>
                <w:color w:val="auto"/>
                <w:sz w:val="24"/>
                <w:szCs w:val="24"/>
                <w:highlight w:val="none"/>
              </w:rPr>
            </w:pPr>
            <w:r>
              <w:rPr>
                <w:rFonts w:ascii="Times New Roman" w:hAnsi="Times New Roman" w:eastAsia="宋体" w:cs="Times New Roman"/>
                <w:b/>
                <w:bCs/>
                <w:color w:val="auto"/>
                <w:sz w:val="24"/>
                <w:szCs w:val="24"/>
                <w:highlight w:val="none"/>
              </w:rPr>
              <w:t>数量</w:t>
            </w:r>
          </w:p>
        </w:tc>
      </w:tr>
      <w:tr w14:paraId="00B24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05535946">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w:t>
            </w:r>
          </w:p>
        </w:tc>
        <w:tc>
          <w:tcPr>
            <w:tcW w:w="970" w:type="pct"/>
            <w:vAlign w:val="center"/>
          </w:tcPr>
          <w:p w14:paraId="60F6329B">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气旋塔</w:t>
            </w:r>
          </w:p>
        </w:tc>
        <w:tc>
          <w:tcPr>
            <w:tcW w:w="3035" w:type="pct"/>
            <w:vAlign w:val="center"/>
          </w:tcPr>
          <w:p w14:paraId="750D69FA">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2500mmX1000mmX2500mm、材质碳钢Q235厚2.75mm、一层喷淋内部陶瓷填充、750W循环水泵一台</w:t>
            </w:r>
            <w:r>
              <w:rPr>
                <w:rFonts w:hint="eastAsia" w:ascii="Times New Roman" w:hAnsi="Times New Roman" w:eastAsia="宋体" w:cs="Times New Roman"/>
                <w:color w:val="auto"/>
                <w:sz w:val="24"/>
                <w:szCs w:val="24"/>
                <w:highlight w:val="none"/>
              </w:rPr>
              <w:t>，绿色</w:t>
            </w:r>
            <w:r>
              <w:rPr>
                <w:rFonts w:ascii="Times New Roman" w:hAnsi="Times New Roman" w:eastAsia="宋体" w:cs="Times New Roman"/>
                <w:color w:val="auto"/>
                <w:sz w:val="24"/>
                <w:szCs w:val="24"/>
                <w:highlight w:val="none"/>
              </w:rPr>
              <w:t>防腐漆</w:t>
            </w:r>
          </w:p>
        </w:tc>
        <w:tc>
          <w:tcPr>
            <w:tcW w:w="556" w:type="pct"/>
            <w:vAlign w:val="center"/>
          </w:tcPr>
          <w:p w14:paraId="7C21388A">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两座</w:t>
            </w:r>
          </w:p>
        </w:tc>
      </w:tr>
      <w:tr w14:paraId="6367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419CA8B6">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w:t>
            </w:r>
          </w:p>
        </w:tc>
        <w:tc>
          <w:tcPr>
            <w:tcW w:w="970" w:type="pct"/>
            <w:vAlign w:val="center"/>
          </w:tcPr>
          <w:p w14:paraId="2A6299EC">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冷却塔</w:t>
            </w:r>
          </w:p>
        </w:tc>
        <w:tc>
          <w:tcPr>
            <w:tcW w:w="3035" w:type="pct"/>
            <w:vAlign w:val="center"/>
          </w:tcPr>
          <w:p w14:paraId="6D2C74FA">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直径1200mmX1500mm、材质玻璃钢、处理水量15T、电机功率370W</w:t>
            </w:r>
          </w:p>
        </w:tc>
        <w:tc>
          <w:tcPr>
            <w:tcW w:w="556" w:type="pct"/>
            <w:vAlign w:val="center"/>
          </w:tcPr>
          <w:p w14:paraId="7481DACA">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两座</w:t>
            </w:r>
          </w:p>
        </w:tc>
      </w:tr>
      <w:tr w14:paraId="0D4F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6CEE7E38">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3</w:t>
            </w:r>
          </w:p>
        </w:tc>
        <w:tc>
          <w:tcPr>
            <w:tcW w:w="970" w:type="pct"/>
            <w:vAlign w:val="center"/>
          </w:tcPr>
          <w:p w14:paraId="6D7E2137">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冷却水箱</w:t>
            </w:r>
          </w:p>
        </w:tc>
        <w:tc>
          <w:tcPr>
            <w:tcW w:w="3035" w:type="pct"/>
            <w:vAlign w:val="center"/>
          </w:tcPr>
          <w:p w14:paraId="31D337C1">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尺寸3000mmX2000mmX900mm、材质碳钢Q235厚2.75mm、储水5T</w:t>
            </w:r>
          </w:p>
        </w:tc>
        <w:tc>
          <w:tcPr>
            <w:tcW w:w="556" w:type="pct"/>
            <w:vAlign w:val="center"/>
          </w:tcPr>
          <w:p w14:paraId="097EC4B9">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一座</w:t>
            </w:r>
          </w:p>
        </w:tc>
      </w:tr>
      <w:tr w14:paraId="1048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437" w:type="pct"/>
            <w:vAlign w:val="center"/>
          </w:tcPr>
          <w:p w14:paraId="1DC39657">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4</w:t>
            </w:r>
          </w:p>
        </w:tc>
        <w:tc>
          <w:tcPr>
            <w:tcW w:w="970" w:type="pct"/>
            <w:vAlign w:val="center"/>
          </w:tcPr>
          <w:p w14:paraId="45D0B00C">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离心风机</w:t>
            </w:r>
          </w:p>
        </w:tc>
        <w:tc>
          <w:tcPr>
            <w:tcW w:w="3035" w:type="pct"/>
            <w:vAlign w:val="center"/>
          </w:tcPr>
          <w:p w14:paraId="612972FB">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功率3KW、外壳碳钢耐高温</w:t>
            </w:r>
          </w:p>
        </w:tc>
        <w:tc>
          <w:tcPr>
            <w:tcW w:w="556" w:type="pct"/>
            <w:vAlign w:val="center"/>
          </w:tcPr>
          <w:p w14:paraId="7A414FE8">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两台</w:t>
            </w:r>
          </w:p>
        </w:tc>
      </w:tr>
      <w:tr w14:paraId="08ADB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37" w:type="pct"/>
            <w:vAlign w:val="center"/>
          </w:tcPr>
          <w:p w14:paraId="62D857EF">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5</w:t>
            </w:r>
          </w:p>
        </w:tc>
        <w:tc>
          <w:tcPr>
            <w:tcW w:w="970" w:type="pct"/>
            <w:vAlign w:val="center"/>
          </w:tcPr>
          <w:p w14:paraId="664FB4AC">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配电柜</w:t>
            </w:r>
          </w:p>
        </w:tc>
        <w:tc>
          <w:tcPr>
            <w:tcW w:w="3035" w:type="pct"/>
            <w:vAlign w:val="center"/>
          </w:tcPr>
          <w:p w14:paraId="6F0122A5">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变频控制柜、手动调节、挂墙式、电器装配</w:t>
            </w:r>
          </w:p>
        </w:tc>
        <w:tc>
          <w:tcPr>
            <w:tcW w:w="556" w:type="pct"/>
            <w:vAlign w:val="center"/>
          </w:tcPr>
          <w:p w14:paraId="21876593">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两台</w:t>
            </w:r>
          </w:p>
        </w:tc>
      </w:tr>
      <w:tr w14:paraId="23D3F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437" w:type="pct"/>
            <w:vAlign w:val="center"/>
          </w:tcPr>
          <w:p w14:paraId="713795DF">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6</w:t>
            </w:r>
          </w:p>
        </w:tc>
        <w:tc>
          <w:tcPr>
            <w:tcW w:w="970" w:type="pct"/>
            <w:vAlign w:val="center"/>
          </w:tcPr>
          <w:p w14:paraId="40AEA27D">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管道</w:t>
            </w:r>
          </w:p>
        </w:tc>
        <w:tc>
          <w:tcPr>
            <w:tcW w:w="3035" w:type="pct"/>
            <w:vAlign w:val="center"/>
          </w:tcPr>
          <w:p w14:paraId="5ECA475B">
            <w:pPr>
              <w:jc w:val="center"/>
              <w:rPr>
                <w:rFonts w:hint="default" w:ascii="Times New Roman" w:hAnsi="Times New Roman" w:eastAsia="宋体" w:cs="Times New Roman"/>
                <w:color w:val="auto"/>
                <w:sz w:val="24"/>
                <w:szCs w:val="24"/>
                <w:highlight w:val="none"/>
                <w:lang w:val="en-US" w:eastAsia="zh-CN"/>
              </w:rPr>
            </w:pPr>
            <w:r>
              <w:rPr>
                <w:rFonts w:ascii="Times New Roman" w:hAnsi="Times New Roman" w:eastAsia="宋体" w:cs="Times New Roman"/>
                <w:color w:val="auto"/>
                <w:sz w:val="24"/>
                <w:szCs w:val="24"/>
                <w:highlight w:val="none"/>
              </w:rPr>
              <w:t>材质碳钢Q235厚2.75mm</w:t>
            </w:r>
            <w:r>
              <w:rPr>
                <w:rFonts w:hint="eastAsia" w:ascii="Times New Roman" w:hAnsi="Times New Roman" w:eastAsia="宋体" w:cs="Times New Roman"/>
                <w:color w:val="auto"/>
                <w:sz w:val="24"/>
                <w:szCs w:val="24"/>
                <w:highlight w:val="none"/>
              </w:rPr>
              <w:t>，</w:t>
            </w:r>
            <w:r>
              <w:rPr>
                <w:rFonts w:hint="eastAsia" w:cs="Times New Roman"/>
                <w:color w:val="auto"/>
                <w:sz w:val="24"/>
                <w:szCs w:val="24"/>
                <w:highlight w:val="none"/>
                <w:lang w:eastAsia="zh-CN"/>
              </w:rPr>
              <w:t>直径300mm，</w:t>
            </w:r>
            <w:r>
              <w:rPr>
                <w:rFonts w:hint="eastAsia" w:ascii="Times New Roman" w:hAnsi="Times New Roman" w:eastAsia="宋体" w:cs="Times New Roman"/>
                <w:color w:val="auto"/>
                <w:sz w:val="24"/>
                <w:szCs w:val="24"/>
                <w:highlight w:val="none"/>
              </w:rPr>
              <w:t>绿色</w:t>
            </w:r>
            <w:r>
              <w:rPr>
                <w:rFonts w:ascii="Times New Roman" w:hAnsi="Times New Roman" w:eastAsia="宋体" w:cs="Times New Roman"/>
                <w:color w:val="auto"/>
                <w:sz w:val="24"/>
                <w:szCs w:val="24"/>
                <w:highlight w:val="none"/>
              </w:rPr>
              <w:t>防腐漆</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70米</w:t>
            </w:r>
          </w:p>
        </w:tc>
        <w:tc>
          <w:tcPr>
            <w:tcW w:w="556" w:type="pct"/>
            <w:vAlign w:val="center"/>
          </w:tcPr>
          <w:p w14:paraId="60DC0E10">
            <w:pPr>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一项</w:t>
            </w:r>
          </w:p>
        </w:tc>
      </w:tr>
      <w:tr w14:paraId="6B72B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437" w:type="pct"/>
            <w:vAlign w:val="center"/>
          </w:tcPr>
          <w:p w14:paraId="51166952">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7</w:t>
            </w:r>
          </w:p>
        </w:tc>
        <w:tc>
          <w:tcPr>
            <w:tcW w:w="970" w:type="pct"/>
            <w:vAlign w:val="center"/>
          </w:tcPr>
          <w:p w14:paraId="0E72E3F4">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弯头</w:t>
            </w:r>
          </w:p>
        </w:tc>
        <w:tc>
          <w:tcPr>
            <w:tcW w:w="3035" w:type="pct"/>
            <w:vAlign w:val="center"/>
          </w:tcPr>
          <w:p w14:paraId="1A3D5566">
            <w:pPr>
              <w:jc w:val="center"/>
              <w:rPr>
                <w:rFonts w:hint="eastAsia" w:ascii="Times New Roman" w:hAnsi="Times New Roman" w:eastAsia="宋体" w:cs="Times New Roman"/>
                <w:color w:val="auto"/>
                <w:sz w:val="24"/>
                <w:szCs w:val="24"/>
                <w:highlight w:val="none"/>
                <w:lang w:eastAsia="zh-CN"/>
              </w:rPr>
            </w:pPr>
            <w:r>
              <w:rPr>
                <w:rFonts w:ascii="Times New Roman" w:hAnsi="Times New Roman" w:eastAsia="宋体" w:cs="Times New Roman"/>
                <w:color w:val="auto"/>
                <w:sz w:val="24"/>
                <w:szCs w:val="24"/>
                <w:highlight w:val="none"/>
              </w:rPr>
              <w:t>材质碳钢Q235厚2.75mm</w:t>
            </w:r>
            <w:r>
              <w:rPr>
                <w:rFonts w:hint="eastAsia" w:cs="Times New Roman"/>
                <w:color w:val="auto"/>
                <w:sz w:val="24"/>
                <w:szCs w:val="24"/>
                <w:highlight w:val="none"/>
                <w:lang w:eastAsia="zh-CN"/>
              </w:rPr>
              <w:t>，直径300mm</w:t>
            </w:r>
          </w:p>
        </w:tc>
        <w:tc>
          <w:tcPr>
            <w:tcW w:w="556" w:type="pct"/>
            <w:vAlign w:val="center"/>
          </w:tcPr>
          <w:p w14:paraId="1808C892">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9个</w:t>
            </w:r>
          </w:p>
        </w:tc>
      </w:tr>
      <w:tr w14:paraId="7BD5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37" w:type="pct"/>
            <w:vAlign w:val="center"/>
          </w:tcPr>
          <w:p w14:paraId="303D371A">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8</w:t>
            </w:r>
          </w:p>
        </w:tc>
        <w:tc>
          <w:tcPr>
            <w:tcW w:w="970" w:type="pct"/>
            <w:vAlign w:val="center"/>
          </w:tcPr>
          <w:p w14:paraId="2DF58DC3">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检测口</w:t>
            </w:r>
          </w:p>
        </w:tc>
        <w:tc>
          <w:tcPr>
            <w:tcW w:w="3035" w:type="pct"/>
            <w:vAlign w:val="center"/>
          </w:tcPr>
          <w:p w14:paraId="229A827E">
            <w:pPr>
              <w:jc w:val="center"/>
              <w:rPr>
                <w:rFonts w:hint="eastAsia" w:ascii="Times New Roman" w:hAnsi="Times New Roman" w:eastAsia="宋体" w:cs="Times New Roman"/>
                <w:color w:val="auto"/>
                <w:sz w:val="24"/>
                <w:szCs w:val="24"/>
                <w:highlight w:val="none"/>
                <w:lang w:eastAsia="zh-CN"/>
              </w:rPr>
            </w:pPr>
            <w:r>
              <w:rPr>
                <w:rFonts w:ascii="Times New Roman" w:hAnsi="Times New Roman" w:eastAsia="宋体" w:cs="Times New Roman"/>
                <w:color w:val="auto"/>
                <w:sz w:val="24"/>
                <w:szCs w:val="24"/>
                <w:highlight w:val="none"/>
              </w:rPr>
              <w:t>材质碳钢Q235厚2.75mm</w:t>
            </w:r>
          </w:p>
        </w:tc>
        <w:tc>
          <w:tcPr>
            <w:tcW w:w="556" w:type="pct"/>
            <w:vAlign w:val="center"/>
          </w:tcPr>
          <w:p w14:paraId="317F5051">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4个</w:t>
            </w:r>
          </w:p>
        </w:tc>
      </w:tr>
      <w:tr w14:paraId="4F60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37" w:type="pct"/>
            <w:vAlign w:val="center"/>
          </w:tcPr>
          <w:p w14:paraId="274CF387">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9</w:t>
            </w:r>
          </w:p>
        </w:tc>
        <w:tc>
          <w:tcPr>
            <w:tcW w:w="970" w:type="pct"/>
            <w:vAlign w:val="center"/>
          </w:tcPr>
          <w:p w14:paraId="5ABCBCC4">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五金电料</w:t>
            </w:r>
          </w:p>
        </w:tc>
        <w:tc>
          <w:tcPr>
            <w:tcW w:w="3035" w:type="pct"/>
            <w:vAlign w:val="center"/>
          </w:tcPr>
          <w:p w14:paraId="7E390808">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焊条、钢丝绳、支架、风机线缆</w:t>
            </w:r>
          </w:p>
        </w:tc>
        <w:tc>
          <w:tcPr>
            <w:tcW w:w="556" w:type="pct"/>
            <w:vAlign w:val="center"/>
          </w:tcPr>
          <w:p w14:paraId="5EB53DC9">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一批</w:t>
            </w:r>
          </w:p>
        </w:tc>
      </w:tr>
      <w:tr w14:paraId="1B36C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7" w:type="pct"/>
            <w:vAlign w:val="center"/>
          </w:tcPr>
          <w:p w14:paraId="5E3B6F19">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10</w:t>
            </w:r>
          </w:p>
        </w:tc>
        <w:tc>
          <w:tcPr>
            <w:tcW w:w="970" w:type="pct"/>
            <w:vAlign w:val="center"/>
          </w:tcPr>
          <w:p w14:paraId="4B343C6C">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设备平台</w:t>
            </w:r>
          </w:p>
        </w:tc>
        <w:tc>
          <w:tcPr>
            <w:tcW w:w="3035" w:type="pct"/>
            <w:vAlign w:val="center"/>
          </w:tcPr>
          <w:p w14:paraId="6F1D06BD">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使用14#槽钢焊接材质镀锌、3.5m*2m</w:t>
            </w:r>
          </w:p>
        </w:tc>
        <w:tc>
          <w:tcPr>
            <w:tcW w:w="556" w:type="pct"/>
            <w:vAlign w:val="center"/>
          </w:tcPr>
          <w:p w14:paraId="2D127BA2">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一座</w:t>
            </w:r>
          </w:p>
        </w:tc>
      </w:tr>
      <w:tr w14:paraId="5850A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437" w:type="pct"/>
            <w:vAlign w:val="center"/>
          </w:tcPr>
          <w:p w14:paraId="6F6BDFF9">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11</w:t>
            </w:r>
          </w:p>
        </w:tc>
        <w:tc>
          <w:tcPr>
            <w:tcW w:w="970" w:type="pct"/>
            <w:vAlign w:val="center"/>
          </w:tcPr>
          <w:p w14:paraId="44574099">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设备平台</w:t>
            </w:r>
          </w:p>
        </w:tc>
        <w:tc>
          <w:tcPr>
            <w:tcW w:w="3035" w:type="pct"/>
            <w:vAlign w:val="center"/>
          </w:tcPr>
          <w:p w14:paraId="0A9B37D8">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使用14#槽钢焊接材质镀锌、9m*2m</w:t>
            </w:r>
          </w:p>
        </w:tc>
        <w:tc>
          <w:tcPr>
            <w:tcW w:w="556" w:type="pct"/>
            <w:vAlign w:val="center"/>
          </w:tcPr>
          <w:p w14:paraId="2E0A39C1">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一座</w:t>
            </w:r>
          </w:p>
        </w:tc>
      </w:tr>
      <w:tr w14:paraId="3559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7" w:type="pct"/>
            <w:vAlign w:val="center"/>
          </w:tcPr>
          <w:p w14:paraId="14BAA920">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12</w:t>
            </w:r>
          </w:p>
        </w:tc>
        <w:tc>
          <w:tcPr>
            <w:tcW w:w="970" w:type="pct"/>
            <w:vAlign w:val="center"/>
          </w:tcPr>
          <w:p w14:paraId="195ADAF7">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进水管、总电电缆</w:t>
            </w:r>
          </w:p>
        </w:tc>
        <w:tc>
          <w:tcPr>
            <w:tcW w:w="3035" w:type="pct"/>
            <w:vAlign w:val="center"/>
          </w:tcPr>
          <w:p w14:paraId="70C0A607">
            <w:pPr>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进水</w:t>
            </w:r>
            <w:r>
              <w:rPr>
                <w:rFonts w:hint="eastAsia" w:cs="Times New Roman"/>
                <w:color w:val="auto"/>
                <w:sz w:val="24"/>
                <w:szCs w:val="24"/>
                <w:highlight w:val="none"/>
                <w:lang w:val="en-US" w:eastAsia="zh-CN"/>
              </w:rPr>
              <w:t>管25mm，材质</w:t>
            </w:r>
            <w:r>
              <w:rPr>
                <w:rFonts w:hint="eastAsia" w:cs="Times New Roman"/>
                <w:color w:val="auto"/>
                <w:sz w:val="24"/>
                <w:szCs w:val="24"/>
                <w:highlight w:val="none"/>
                <w:lang w:val="en-US" w:eastAsia="zh-CN"/>
              </w:rPr>
              <w:t>ppr；线6平方</w:t>
            </w:r>
          </w:p>
        </w:tc>
        <w:tc>
          <w:tcPr>
            <w:tcW w:w="556" w:type="pct"/>
            <w:vAlign w:val="center"/>
          </w:tcPr>
          <w:p w14:paraId="4816D9AD">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w:t>
            </w:r>
          </w:p>
        </w:tc>
      </w:tr>
      <w:tr w14:paraId="28B9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3337A4D6">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13</w:t>
            </w:r>
          </w:p>
        </w:tc>
        <w:tc>
          <w:tcPr>
            <w:tcW w:w="970" w:type="pct"/>
            <w:vAlign w:val="center"/>
          </w:tcPr>
          <w:p w14:paraId="1612FB05">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技术服务</w:t>
            </w:r>
          </w:p>
        </w:tc>
        <w:tc>
          <w:tcPr>
            <w:tcW w:w="3035" w:type="pct"/>
            <w:vAlign w:val="center"/>
          </w:tcPr>
          <w:p w14:paraId="09532CE3">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调试、维保（包含气旋塔水池清淤、管道及气旋塔补漆工作，两年）</w:t>
            </w:r>
          </w:p>
        </w:tc>
        <w:tc>
          <w:tcPr>
            <w:tcW w:w="556" w:type="pct"/>
            <w:vAlign w:val="center"/>
          </w:tcPr>
          <w:p w14:paraId="20769837">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w:t>
            </w:r>
          </w:p>
        </w:tc>
      </w:tr>
    </w:tbl>
    <w:p w14:paraId="29BFAEF4">
      <w:pPr>
        <w:keepNext w:val="0"/>
        <w:keepLines w:val="0"/>
        <w:pageBreakBefore w:val="0"/>
        <w:kinsoku/>
        <w:wordWrap/>
        <w:overflowPunct/>
        <w:topLinePunct w:val="0"/>
        <w:autoSpaceDN/>
        <w:bidi w:val="0"/>
        <w:adjustRightInd/>
        <w:snapToGrid w:val="0"/>
        <w:spacing w:line="400" w:lineRule="exact"/>
        <w:ind w:left="0" w:right="0" w:rightChars="0"/>
        <w:jc w:val="left"/>
        <w:textAlignment w:val="auto"/>
        <w:outlineLvl w:val="9"/>
        <w:rPr>
          <w:rFonts w:hint="eastAsia" w:cs="Times New Roman"/>
          <w:b/>
          <w:bCs w:val="0"/>
          <w:color w:val="auto"/>
          <w:sz w:val="24"/>
          <w:szCs w:val="24"/>
          <w:highlight w:val="none"/>
          <w:lang w:val="en-US" w:eastAsia="zh-CN"/>
        </w:rPr>
      </w:pPr>
      <w:r>
        <w:rPr>
          <w:rFonts w:hint="eastAsia" w:ascii="宋体" w:hAnsi="宋体" w:cs="宋体"/>
          <w:b/>
          <w:bCs w:val="0"/>
          <w:color w:val="auto"/>
          <w:sz w:val="24"/>
          <w:szCs w:val="24"/>
          <w:highlight w:val="none"/>
          <w:lang w:val="en-US" w:eastAsia="zh-CN" w:bidi="ar"/>
        </w:rPr>
        <w:t>注：检测</w:t>
      </w:r>
      <w:r>
        <w:rPr>
          <w:rFonts w:hint="eastAsia" w:ascii="Times New Roman" w:hAnsi="Times New Roman" w:eastAsia="宋体" w:cs="Times New Roman"/>
          <w:b/>
          <w:bCs w:val="0"/>
          <w:color w:val="auto"/>
          <w:sz w:val="24"/>
          <w:szCs w:val="24"/>
          <w:highlight w:val="none"/>
        </w:rPr>
        <w:t>烟尘、烟气黑度（3次/天，1天，2个采样口）</w:t>
      </w:r>
      <w:r>
        <w:rPr>
          <w:rFonts w:hint="eastAsia" w:cs="Times New Roman"/>
          <w:b/>
          <w:bCs w:val="0"/>
          <w:color w:val="auto"/>
          <w:sz w:val="24"/>
          <w:szCs w:val="24"/>
          <w:highlight w:val="none"/>
          <w:lang w:eastAsia="zh-CN"/>
        </w:rPr>
        <w:t>，</w:t>
      </w:r>
      <w:r>
        <w:rPr>
          <w:rFonts w:hint="eastAsia" w:cs="Times New Roman"/>
          <w:b/>
          <w:bCs w:val="0"/>
          <w:color w:val="auto"/>
          <w:sz w:val="24"/>
          <w:szCs w:val="24"/>
          <w:highlight w:val="none"/>
          <w:lang w:val="en-US" w:eastAsia="zh-CN"/>
        </w:rPr>
        <w:t>需按照《工业炉窑大气污染物排放标准》(GB9078-1996)、《关于印发&lt;湖州市工业炉窑大气污染深度治理实施方案&gt;的通知》标准执行。</w:t>
      </w:r>
    </w:p>
    <w:p w14:paraId="53B41374">
      <w:pPr>
        <w:pStyle w:val="2"/>
        <w:rPr>
          <w:rFonts w:hint="eastAsia" w:cs="Times New Roman"/>
          <w:color w:val="auto"/>
          <w:sz w:val="24"/>
          <w:szCs w:val="24"/>
          <w:highlight w:val="none"/>
          <w:lang w:val="en-US" w:eastAsia="zh-CN"/>
        </w:rPr>
      </w:pPr>
    </w:p>
    <w:p w14:paraId="7D31EC1F">
      <w:pPr>
        <w:pStyle w:val="2"/>
        <w:rPr>
          <w:rFonts w:hint="default"/>
          <w:color w:val="auto"/>
          <w:highlight w:val="none"/>
          <w:lang w:val="en-US" w:eastAsia="zh-CN"/>
        </w:rPr>
      </w:pPr>
    </w:p>
    <w:p w14:paraId="23FA5C78">
      <w:pPr>
        <w:keepNext w:val="0"/>
        <w:keepLines w:val="0"/>
        <w:pageBreakBefore w:val="0"/>
        <w:kinsoku/>
        <w:wordWrap/>
        <w:overflowPunct/>
        <w:topLinePunct w:val="0"/>
        <w:autoSpaceDN/>
        <w:bidi w:val="0"/>
        <w:adjustRightInd/>
        <w:snapToGrid w:val="0"/>
        <w:spacing w:line="400" w:lineRule="exact"/>
        <w:ind w:left="0" w:right="0" w:rightChars="0"/>
        <w:jc w:val="center"/>
        <w:textAlignment w:val="auto"/>
        <w:outlineLvl w:val="9"/>
        <w:rPr>
          <w:rFonts w:hint="eastAsia" w:ascii="宋体" w:hAnsi="宋体" w:cs="宋体"/>
          <w:color w:val="auto"/>
          <w:sz w:val="24"/>
          <w:highlight w:val="none"/>
        </w:rPr>
      </w:pPr>
      <w:r>
        <w:rPr>
          <w:rFonts w:hint="eastAsia" w:ascii="宋体" w:hAnsi="宋体" w:cs="宋体"/>
          <w:b/>
          <w:color w:val="auto"/>
          <w:sz w:val="28"/>
          <w:szCs w:val="28"/>
          <w:highlight w:val="none"/>
          <w:lang w:bidi="ar"/>
        </w:rPr>
        <w:t>▲</w:t>
      </w:r>
      <w:r>
        <w:rPr>
          <w:rFonts w:hint="eastAsia" w:ascii="宋体" w:hAnsi="宋体" w:cs="宋体"/>
          <w:b/>
          <w:bCs/>
          <w:color w:val="auto"/>
          <w:kern w:val="44"/>
          <w:sz w:val="28"/>
          <w:szCs w:val="28"/>
          <w:highlight w:val="none"/>
          <w:lang w:bidi="ar"/>
        </w:rPr>
        <w:t>商务条款部分</w:t>
      </w:r>
    </w:p>
    <w:p w14:paraId="4D98CB14">
      <w:pPr>
        <w:pageBreakBefore w:val="0"/>
        <w:kinsoku/>
        <w:wordWrap/>
        <w:overflowPunct/>
        <w:topLinePunct w:val="0"/>
        <w:bidi w:val="0"/>
        <w:spacing w:after="0" w:line="360" w:lineRule="exact"/>
        <w:ind w:left="0" w:left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一、项目服务要求</w:t>
      </w:r>
    </w:p>
    <w:p w14:paraId="53BEBC7E">
      <w:pPr>
        <w:pageBreakBefore w:val="0"/>
        <w:kinsoku/>
        <w:wordWrap/>
        <w:overflowPunct/>
        <w:topLinePunct w:val="0"/>
        <w:bidi w:val="0"/>
        <w:spacing w:after="0" w:line="3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（1）中标人应免费将所供产品运输到用户指定地点，用户组织产品供货验收合格后，根据用户要求免费实施产品的安装调试。</w:t>
      </w:r>
    </w:p>
    <w:p w14:paraId="16FC4564">
      <w:pPr>
        <w:pageBreakBefore w:val="0"/>
        <w:kinsoku/>
        <w:wordWrap/>
        <w:overflowPunct/>
        <w:topLinePunct w:val="0"/>
        <w:bidi w:val="0"/>
        <w:spacing w:after="0" w:line="3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（2）根据用户实际应用的要求，免费提供产品的安装调试，应包含项目所需相应的所有附件等材料。</w:t>
      </w:r>
    </w:p>
    <w:p w14:paraId="1112826F">
      <w:pPr>
        <w:pStyle w:val="25"/>
        <w:keepNext w:val="0"/>
        <w:keepLines w:val="0"/>
        <w:pageBreakBefore w:val="0"/>
        <w:numPr>
          <w:ilvl w:val="0"/>
          <w:numId w:val="0"/>
        </w:numPr>
        <w:kinsoku/>
        <w:wordWrap/>
        <w:overflowPunct/>
        <w:topLinePunct w:val="0"/>
        <w:autoSpaceDN/>
        <w:bidi w:val="0"/>
        <w:adjustRightInd/>
        <w:snapToGrid w:val="0"/>
        <w:spacing w:after="0" w:line="400" w:lineRule="exact"/>
        <w:ind w:left="0" w:leftChars="0" w:right="0" w:rightChars="0" w:firstLine="0" w:firstLineChars="0"/>
        <w:textAlignment w:val="auto"/>
        <w:outlineLvl w:val="9"/>
        <w:rPr>
          <w:rFonts w:hint="default" w:ascii="宋体" w:hAnsi="宋体" w:eastAsia="宋体" w:cs="宋体"/>
          <w:color w:val="auto"/>
          <w:sz w:val="24"/>
          <w:szCs w:val="24"/>
          <w:highlight w:val="none"/>
          <w:lang w:val="en-US"/>
        </w:rPr>
      </w:pPr>
      <w:r>
        <w:rPr>
          <w:rFonts w:hint="eastAsia" w:ascii="宋体" w:hAnsi="宋体" w:eastAsia="宋体" w:cs="宋体"/>
          <w:b/>
          <w:color w:val="auto"/>
          <w:kern w:val="2"/>
          <w:sz w:val="24"/>
          <w:szCs w:val="24"/>
          <w:highlight w:val="none"/>
          <w:lang w:val="en-US" w:eastAsia="zh-CN" w:bidi="ar-SA"/>
        </w:rPr>
        <w:t>二、</w:t>
      </w:r>
      <w:r>
        <w:rPr>
          <w:rFonts w:hint="eastAsia" w:ascii="宋体" w:hAnsi="宋体" w:eastAsia="宋体" w:cs="宋体"/>
          <w:color w:val="auto"/>
          <w:sz w:val="24"/>
          <w:szCs w:val="24"/>
          <w:highlight w:val="none"/>
          <w:lang w:val="en-US" w:eastAsia="zh-CN"/>
        </w:rPr>
        <w:t>工期</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自合同签订之日起60日历天完成安装调试且正常运行，提供两年的技术服务。</w:t>
      </w:r>
    </w:p>
    <w:p w14:paraId="7DE7E7D4">
      <w:pPr>
        <w:keepNext w:val="0"/>
        <w:keepLines w:val="0"/>
        <w:pageBreakBefore w:val="0"/>
        <w:kinsoku/>
        <w:wordWrap/>
        <w:overflowPunct/>
        <w:topLinePunct w:val="0"/>
        <w:autoSpaceDE w:val="0"/>
        <w:autoSpaceDN/>
        <w:bidi w:val="0"/>
        <w:adjustRightInd/>
        <w:snapToGrid w:val="0"/>
        <w:spacing w:line="400" w:lineRule="exact"/>
        <w:ind w:right="0" w:rightChars="0"/>
        <w:textAlignment w:val="auto"/>
        <w:rPr>
          <w:rFonts w:hint="eastAsia" w:ascii="宋体" w:hAnsi="宋体" w:cs="宋体"/>
          <w:b/>
          <w:color w:val="auto"/>
          <w:sz w:val="24"/>
          <w:highlight w:val="none"/>
          <w:lang w:bidi="ar"/>
        </w:rPr>
      </w:pPr>
      <w:r>
        <w:rPr>
          <w:rFonts w:hint="eastAsia" w:ascii="宋体" w:hAnsi="宋体" w:cs="宋体"/>
          <w:b/>
          <w:color w:val="auto"/>
          <w:sz w:val="24"/>
          <w:highlight w:val="none"/>
          <w:lang w:bidi="ar"/>
        </w:rPr>
        <w:t>三、验收：</w:t>
      </w:r>
    </w:p>
    <w:p w14:paraId="5D9483BC">
      <w:pPr>
        <w:pageBreakBefore w:val="0"/>
        <w:kinsoku/>
        <w:wordWrap/>
        <w:overflowPunct/>
        <w:topLinePunct w:val="0"/>
        <w:bidi w:val="0"/>
        <w:spacing w:after="0" w:line="3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应确保所提供产品的完整性、实用性，保证全部产品及时投入正常运行。若出现因中标人提供的产品不满足要求、不合理，或者其所提供的技术支持和服务不全面，而导致产品无法实现或不能完全实现的状况，中标人负全部责任。验收中发现设备达不到验收标准或合同规定的性能指标，中标人必须更换设备，并负担由此给用户造成的损失，直到验收合格为止。</w:t>
      </w:r>
    </w:p>
    <w:p w14:paraId="04AC1D0C">
      <w:pPr>
        <w:keepNext w:val="0"/>
        <w:keepLines w:val="0"/>
        <w:pageBreakBefore w:val="0"/>
        <w:kinsoku/>
        <w:wordWrap/>
        <w:overflowPunct/>
        <w:topLinePunct w:val="0"/>
        <w:autoSpaceDE w:val="0"/>
        <w:autoSpaceDN/>
        <w:bidi w:val="0"/>
        <w:adjustRightInd/>
        <w:snapToGrid w:val="0"/>
        <w:spacing w:line="400" w:lineRule="exact"/>
        <w:ind w:right="0" w:rightChars="0" w:firstLine="481"/>
        <w:textAlignment w:val="auto"/>
        <w:rPr>
          <w:rFonts w:hint="eastAsia" w:ascii="宋体" w:hAnsi="宋体" w:cs="宋体"/>
          <w:b/>
          <w:color w:val="auto"/>
          <w:sz w:val="24"/>
          <w:highlight w:val="none"/>
          <w:lang w:bidi="ar"/>
        </w:rPr>
      </w:pPr>
      <w:r>
        <w:rPr>
          <w:rFonts w:hint="eastAsia" w:ascii="宋体" w:hAnsi="宋体" w:eastAsia="宋体" w:cs="宋体"/>
          <w:color w:val="auto"/>
          <w:sz w:val="24"/>
          <w:szCs w:val="24"/>
          <w:highlight w:val="none"/>
        </w:rPr>
        <w:t>（2）本项目验收标准应符合中国有关的国家、地方、行业的标准。本次验收方式、时间由采购人提前通知中标人，由中标人做好准备。验收期间发生的一切费用由中标人承担，若由中标人单方面原因（不可抗力除外）导致验收时间延后，采购人保留向中标人索赔的权利</w:t>
      </w:r>
      <w:r>
        <w:rPr>
          <w:rFonts w:hint="eastAsia" w:ascii="宋体" w:hAnsi="宋体" w:cs="宋体"/>
          <w:b w:val="0"/>
          <w:bCs/>
          <w:color w:val="auto"/>
          <w:sz w:val="24"/>
          <w:szCs w:val="24"/>
          <w:highlight w:val="none"/>
          <w:lang w:bidi="ar"/>
        </w:rPr>
        <w:t>。</w:t>
      </w:r>
    </w:p>
    <w:p w14:paraId="10912C51">
      <w:pPr>
        <w:pageBreakBefore w:val="0"/>
        <w:kinsoku/>
        <w:wordWrap/>
        <w:overflowPunct/>
        <w:topLinePunct w:val="0"/>
        <w:bidi w:val="0"/>
        <w:spacing w:after="0" w:line="360" w:lineRule="exact"/>
        <w:ind w:left="0" w:leftChars="0" w:firstLine="482" w:firstLineChars="200"/>
        <w:rPr>
          <w:rFonts w:hint="eastAsia" w:ascii="宋体" w:hAnsi="宋体" w:eastAsia="宋体" w:cs="宋体"/>
          <w:color w:val="auto"/>
          <w:sz w:val="24"/>
          <w:szCs w:val="24"/>
          <w:highlight w:val="none"/>
        </w:rPr>
      </w:pPr>
      <w:r>
        <w:rPr>
          <w:rFonts w:hint="eastAsia" w:ascii="宋体" w:hAnsi="宋体" w:cs="宋体"/>
          <w:b/>
          <w:color w:val="auto"/>
          <w:sz w:val="24"/>
          <w:highlight w:val="none"/>
          <w:lang w:bidi="ar"/>
        </w:rPr>
        <w:t>四、</w:t>
      </w:r>
      <w:r>
        <w:rPr>
          <w:rFonts w:hint="eastAsia" w:ascii="宋体" w:hAnsi="宋体" w:cs="宋体"/>
          <w:b/>
          <w:color w:val="auto"/>
          <w:sz w:val="24"/>
          <w:highlight w:val="none"/>
          <w:lang w:val="en-US" w:eastAsia="zh-CN" w:bidi="ar"/>
        </w:rPr>
        <w:t>质保期：2年</w:t>
      </w:r>
      <w:r>
        <w:rPr>
          <w:rFonts w:hint="eastAsia" w:ascii="宋体" w:hAnsi="宋体" w:eastAsia="宋体" w:cs="宋体"/>
          <w:color w:val="auto"/>
          <w:sz w:val="24"/>
          <w:szCs w:val="24"/>
          <w:highlight w:val="none"/>
        </w:rPr>
        <w:t>（至少2年，最终以承诺为准），质保期内因不能排除的故障而影响工作的情况每发生一次，其质保期相应延长60天，保质期内因设备本身缺陷造成各种故障应由卖方免费技术服务和维修。</w:t>
      </w:r>
    </w:p>
    <w:p w14:paraId="3E560885">
      <w:pPr>
        <w:pageBreakBefore w:val="0"/>
        <w:kinsoku/>
        <w:wordWrap/>
        <w:overflowPunct/>
        <w:topLinePunct w:val="0"/>
        <w:bidi w:val="0"/>
        <w:spacing w:after="0" w:line="3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（2）在保修期内，所有因服务、设备及零部件更换和维修等原因产生的费用由供应商承担。同时,在整个产品使用期内中标人应确保产品的正常使用，</w:t>
      </w:r>
      <w:r>
        <w:rPr>
          <w:rFonts w:hint="eastAsia" w:ascii="宋体" w:hAnsi="宋体" w:eastAsia="宋体" w:cs="宋体"/>
          <w:color w:val="auto"/>
          <w:sz w:val="24"/>
          <w:szCs w:val="24"/>
          <w:highlight w:val="none"/>
          <w:lang w:val="en-US" w:eastAsia="zh-CN"/>
        </w:rPr>
        <w:t>非人为原因隔断出现掉落或破损，供应商应免费维修。</w:t>
      </w:r>
      <w:r>
        <w:rPr>
          <w:rFonts w:hint="eastAsia" w:ascii="宋体" w:hAnsi="宋体" w:eastAsia="宋体" w:cs="宋体"/>
          <w:color w:val="auto"/>
          <w:sz w:val="24"/>
          <w:szCs w:val="24"/>
          <w:highlight w:val="none"/>
        </w:rPr>
        <w:t>在接到用户维修要求后应立即作出回应。如无法解决问题，应提供同档次的设备予以代用。为此，投标人应提供相应承诺书。</w:t>
      </w:r>
    </w:p>
    <w:p w14:paraId="2A9DC16D">
      <w:pPr>
        <w:pageBreakBefore w:val="0"/>
        <w:kinsoku/>
        <w:wordWrap/>
        <w:overflowPunct/>
        <w:topLinePunct w:val="0"/>
        <w:bidi w:val="0"/>
        <w:spacing w:after="0" w:line="3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（3）在质保期内的工作应包括对所有产品常规检查、调整等。供货方须自行付费负责修理和更换任何由于产品自身的质量问题造成的损坏及故障。</w:t>
      </w:r>
    </w:p>
    <w:p w14:paraId="64B9E093">
      <w:pPr>
        <w:pageBreakBefore w:val="0"/>
        <w:kinsoku/>
        <w:wordWrap/>
        <w:overflowPunct/>
        <w:topLinePunct w:val="0"/>
        <w:bidi w:val="0"/>
        <w:spacing w:after="0" w:line="360" w:lineRule="exact"/>
        <w:ind w:left="0" w:leftChars="0"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（4）免费质保期满后，须以低于市场价的价格长期提供维修及日常保养及维修零部件</w:t>
      </w:r>
      <w:r>
        <w:rPr>
          <w:rFonts w:hint="eastAsia" w:ascii="宋体" w:hAnsi="宋体" w:eastAsia="宋体" w:cs="宋体"/>
          <w:color w:val="auto"/>
          <w:sz w:val="24"/>
          <w:szCs w:val="24"/>
          <w:highlight w:val="none"/>
          <w:lang w:eastAsia="zh-CN"/>
        </w:rPr>
        <w:t>。</w:t>
      </w:r>
    </w:p>
    <w:p w14:paraId="0565A43D">
      <w:pPr>
        <w:keepNext w:val="0"/>
        <w:keepLines w:val="0"/>
        <w:pageBreakBefore w:val="0"/>
        <w:kinsoku/>
        <w:wordWrap/>
        <w:overflowPunct/>
        <w:topLinePunct w:val="0"/>
        <w:autoSpaceDE w:val="0"/>
        <w:autoSpaceDN/>
        <w:bidi w:val="0"/>
        <w:adjustRightInd/>
        <w:snapToGrid w:val="0"/>
        <w:spacing w:line="400" w:lineRule="exact"/>
        <w:ind w:right="0" w:rightChars="0"/>
        <w:textAlignment w:val="auto"/>
        <w:rPr>
          <w:rFonts w:hint="eastAsia" w:ascii="宋体" w:hAnsi="宋体" w:eastAsia="宋体" w:cs="宋体"/>
          <w:b/>
          <w:color w:val="auto"/>
          <w:sz w:val="24"/>
          <w:highlight w:val="none"/>
          <w:lang w:val="en-US" w:eastAsia="zh-CN" w:bidi="ar"/>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保修期结束前，须由供应商技术人员和采购人代表进行一次全面检查，任何缺陷必须由供应商负责修理，在修理之后，供应商应将缺陷原因、修理内容、完成修理及恢复正常的时间和日期等报告给采购人，报告一式两份</w:t>
      </w:r>
      <w:r>
        <w:rPr>
          <w:rFonts w:hint="eastAsia" w:ascii="宋体" w:hAnsi="宋体" w:eastAsia="宋体" w:cs="宋体"/>
          <w:color w:val="auto"/>
          <w:sz w:val="24"/>
          <w:szCs w:val="24"/>
          <w:highlight w:val="none"/>
          <w:lang w:eastAsia="zh-CN"/>
        </w:rPr>
        <w:t>。</w:t>
      </w:r>
    </w:p>
    <w:p w14:paraId="0F889E01">
      <w:pPr>
        <w:keepNext w:val="0"/>
        <w:keepLines w:val="0"/>
        <w:pageBreakBefore w:val="0"/>
        <w:kinsoku/>
        <w:wordWrap/>
        <w:overflowPunct/>
        <w:topLinePunct w:val="0"/>
        <w:autoSpaceDE w:val="0"/>
        <w:autoSpaceDN/>
        <w:bidi w:val="0"/>
        <w:adjustRightInd/>
        <w:snapToGrid w:val="0"/>
        <w:spacing w:line="400" w:lineRule="exact"/>
        <w:ind w:right="0" w:rightChars="0"/>
        <w:textAlignment w:val="auto"/>
        <w:rPr>
          <w:rFonts w:hint="eastAsia" w:ascii="宋体" w:hAnsi="宋体" w:cs="宋体"/>
          <w:b/>
          <w:color w:val="auto"/>
          <w:sz w:val="24"/>
          <w:highlight w:val="none"/>
          <w:lang w:bidi="ar"/>
        </w:rPr>
      </w:pPr>
      <w:r>
        <w:rPr>
          <w:rFonts w:hint="eastAsia" w:ascii="宋体" w:hAnsi="宋体" w:cs="宋体"/>
          <w:b/>
          <w:color w:val="auto"/>
          <w:sz w:val="24"/>
          <w:highlight w:val="none"/>
          <w:lang w:val="en-US" w:eastAsia="zh-CN" w:bidi="ar"/>
        </w:rPr>
        <w:t>五、</w:t>
      </w:r>
      <w:r>
        <w:rPr>
          <w:rFonts w:hint="eastAsia" w:ascii="宋体" w:hAnsi="宋体" w:cs="宋体"/>
          <w:b/>
          <w:color w:val="auto"/>
          <w:sz w:val="24"/>
          <w:highlight w:val="none"/>
          <w:lang w:bidi="ar"/>
        </w:rPr>
        <w:t>付款方式</w:t>
      </w:r>
      <w:r>
        <w:rPr>
          <w:rFonts w:hint="eastAsia" w:ascii="宋体" w:hAnsi="宋体" w:cs="宋体"/>
          <w:b/>
          <w:color w:val="auto"/>
          <w:sz w:val="24"/>
          <w:highlight w:val="none"/>
        </w:rPr>
        <w:t>及履约保证金</w:t>
      </w:r>
      <w:r>
        <w:rPr>
          <w:rFonts w:hint="eastAsia" w:ascii="宋体" w:hAnsi="宋体" w:cs="宋体"/>
          <w:b/>
          <w:color w:val="auto"/>
          <w:sz w:val="24"/>
          <w:highlight w:val="none"/>
          <w:lang w:bidi="ar"/>
        </w:rPr>
        <w:t>:</w:t>
      </w:r>
    </w:p>
    <w:p w14:paraId="0C05ADFB">
      <w:pPr>
        <w:keepNext w:val="0"/>
        <w:keepLines w:val="0"/>
        <w:pageBreakBefore w:val="0"/>
        <w:kinsoku/>
        <w:wordWrap/>
        <w:overflowPunct/>
        <w:topLinePunct w:val="0"/>
        <w:autoSpaceDE w:val="0"/>
        <w:autoSpaceDN/>
        <w:bidi w:val="0"/>
        <w:adjustRightInd/>
        <w:snapToGrid w:val="0"/>
        <w:spacing w:line="400" w:lineRule="exact"/>
        <w:ind w:right="0" w:rightChars="0" w:firstLine="482" w:firstLineChars="200"/>
        <w:textAlignment w:val="auto"/>
        <w:rPr>
          <w:rFonts w:hint="default" w:ascii="宋体" w:hAnsi="宋体" w:eastAsia="宋体" w:cs="宋体"/>
          <w:b/>
          <w:color w:val="auto"/>
          <w:sz w:val="24"/>
          <w:highlight w:val="none"/>
          <w:lang w:val="en-US" w:eastAsia="zh-CN" w:bidi="ar"/>
        </w:rPr>
      </w:pPr>
      <w:r>
        <w:rPr>
          <w:rFonts w:hint="eastAsia" w:ascii="宋体" w:hAnsi="宋体" w:cs="宋体"/>
          <w:b/>
          <w:color w:val="auto"/>
          <w:sz w:val="24"/>
          <w:highlight w:val="none"/>
          <w:lang w:val="en-US" w:eastAsia="zh-CN" w:bidi="ar"/>
        </w:rPr>
        <w:t>设备到场且安装调试后支付至合同价的10%，检测完成合格后支付至合同价的95%，剩余5%</w:t>
      </w:r>
      <w:r>
        <w:rPr>
          <w:rFonts w:hint="eastAsia" w:ascii="宋体" w:hAnsi="宋体" w:cs="宋体"/>
          <w:bCs/>
          <w:color w:val="auto"/>
          <w:sz w:val="24"/>
          <w:highlight w:val="none"/>
        </w:rPr>
        <w:t>待所有货物</w:t>
      </w:r>
      <w:r>
        <w:rPr>
          <w:rFonts w:hint="eastAsia" w:ascii="宋体" w:hAnsi="宋体" w:cs="宋体"/>
          <w:bCs/>
          <w:color w:val="auto"/>
          <w:sz w:val="24"/>
          <w:highlight w:val="none"/>
          <w:lang w:val="en-US" w:eastAsia="zh-CN"/>
        </w:rPr>
        <w:t>维</w:t>
      </w:r>
      <w:r>
        <w:rPr>
          <w:rFonts w:hint="eastAsia" w:ascii="宋体" w:hAnsi="宋体" w:cs="宋体"/>
          <w:bCs/>
          <w:color w:val="auto"/>
          <w:sz w:val="24"/>
          <w:highlight w:val="none"/>
        </w:rPr>
        <w:t>保期满（</w:t>
      </w:r>
      <w:r>
        <w:rPr>
          <w:rFonts w:hint="eastAsia" w:ascii="宋体" w:hAnsi="宋体" w:cs="宋体"/>
          <w:bCs/>
          <w:color w:val="auto"/>
          <w:sz w:val="24"/>
          <w:highlight w:val="none"/>
          <w:lang w:val="en-US" w:eastAsia="zh-CN"/>
        </w:rPr>
        <w:t>维</w:t>
      </w:r>
      <w:r>
        <w:rPr>
          <w:rFonts w:hint="eastAsia" w:ascii="宋体" w:hAnsi="宋体" w:cs="宋体"/>
          <w:bCs/>
          <w:color w:val="auto"/>
          <w:sz w:val="24"/>
          <w:highlight w:val="none"/>
        </w:rPr>
        <w:t>保期时间自三方验收合格之日起计算）且无任何质量问题后一次性付清（如有质量问题由中标供应商在48小时内无条件维修合格或更换合格的新产品）。支付方式以票据、转账、保理、保函、信用证等方式支付，中标人需同时提供增值税专用发票</w:t>
      </w:r>
      <w:r>
        <w:rPr>
          <w:rFonts w:hint="eastAsia" w:ascii="宋体" w:hAnsi="宋体" w:cs="宋体"/>
          <w:b/>
          <w:color w:val="auto"/>
          <w:sz w:val="24"/>
          <w:highlight w:val="none"/>
          <w:lang w:val="en-US" w:eastAsia="zh-CN" w:bidi="ar"/>
        </w:rPr>
        <w:t>。</w:t>
      </w:r>
    </w:p>
    <w:p w14:paraId="03830A60">
      <w:pPr>
        <w:pStyle w:val="15"/>
        <w:keepNext w:val="0"/>
        <w:keepLines w:val="0"/>
        <w:pageBreakBefore w:val="0"/>
        <w:widowControl w:val="0"/>
        <w:kinsoku/>
        <w:wordWrap/>
        <w:overflowPunct/>
        <w:topLinePunct w:val="0"/>
        <w:autoSpaceDN/>
        <w:bidi w:val="0"/>
        <w:adjustRightInd/>
        <w:spacing w:before="0" w:beforeAutospacing="0" w:after="0" w:afterAutospacing="0" w:line="400" w:lineRule="exact"/>
        <w:ind w:right="0" w:rightChars="0" w:firstLine="480" w:firstLineChars="200"/>
        <w:jc w:val="both"/>
        <w:textAlignment w:val="auto"/>
        <w:rPr>
          <w:rFonts w:hint="eastAsia"/>
          <w:b/>
          <w:color w:val="auto"/>
          <w:kern w:val="2"/>
          <w:highlight w:val="none"/>
          <w:lang w:bidi="ar"/>
        </w:rPr>
      </w:pPr>
      <w:r>
        <w:rPr>
          <w:rFonts w:hint="eastAsia" w:ascii="宋体" w:hAnsi="宋体" w:cs="宋体"/>
          <w:bCs/>
          <w:color w:val="auto"/>
          <w:sz w:val="24"/>
          <w:highlight w:val="none"/>
        </w:rPr>
        <w:t>履约保证金：中标单位在签订合同前，应当向采购人提交履约保证金（金额为中标价的5%，应当以现金/转帐/汇票/保函（见索即付型）/保证保险形式（见索即付型）提交）。中标人未在规定时间内缴纳的，采购人有权取消中标人中标资格，投标保证金不予退还，并要求中标人赔偿采购人损失。履约保证金待完成且经三方验收合格后无息退还。</w:t>
      </w:r>
    </w:p>
    <w:p w14:paraId="2C5DFCF0">
      <w:pPr>
        <w:pageBreakBefore w:val="0"/>
        <w:kinsoku/>
        <w:wordWrap/>
        <w:overflowPunct/>
        <w:topLinePunct w:val="0"/>
        <w:bidi w:val="0"/>
        <w:spacing w:after="0" w:line="360" w:lineRule="exact"/>
        <w:ind w:left="0" w:leftChars="0"/>
        <w:rPr>
          <w:rFonts w:hint="eastAsia" w:ascii="宋体" w:hAnsi="宋体" w:eastAsia="宋体" w:cs="宋体"/>
          <w:b/>
          <w:color w:val="auto"/>
          <w:sz w:val="24"/>
          <w:szCs w:val="24"/>
          <w:highlight w:val="none"/>
        </w:rPr>
      </w:pPr>
      <w:r>
        <w:rPr>
          <w:rFonts w:hint="eastAsia"/>
          <w:b/>
          <w:color w:val="auto"/>
          <w:kern w:val="2"/>
          <w:highlight w:val="none"/>
          <w:lang w:val="en-US" w:eastAsia="zh-CN" w:bidi="ar"/>
        </w:rPr>
        <w:t>六、</w:t>
      </w:r>
      <w:r>
        <w:rPr>
          <w:rFonts w:hint="eastAsia" w:ascii="宋体" w:hAnsi="宋体" w:eastAsia="宋体" w:cs="宋体"/>
          <w:b/>
          <w:color w:val="auto"/>
          <w:sz w:val="24"/>
          <w:szCs w:val="24"/>
          <w:highlight w:val="none"/>
        </w:rPr>
        <w:t>安装调试（若需要安装调试）</w:t>
      </w:r>
    </w:p>
    <w:p w14:paraId="033D422E">
      <w:pPr>
        <w:pageBreakBefore w:val="0"/>
        <w:kinsoku/>
        <w:wordWrap/>
        <w:overflowPunct/>
        <w:topLinePunct w:val="0"/>
        <w:bidi w:val="0"/>
        <w:spacing w:after="0" w:line="360" w:lineRule="exact"/>
        <w:ind w:left="0" w:leftChars="0"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（1）安装（供货）地点:采购人指定地点。</w:t>
      </w:r>
    </w:p>
    <w:p w14:paraId="1017A7D6">
      <w:pPr>
        <w:pageBreakBefore w:val="0"/>
        <w:kinsoku/>
        <w:wordWrap/>
        <w:overflowPunct/>
        <w:topLinePunct w:val="0"/>
        <w:bidi w:val="0"/>
        <w:spacing w:after="0" w:line="360" w:lineRule="exact"/>
        <w:ind w:left="0" w:leftChars="0"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（2）安装标准：符合我国国家有关技术规范要求和技术标准，所有的货物必须保证同时安装到位。</w:t>
      </w:r>
    </w:p>
    <w:p w14:paraId="682BBD22">
      <w:pPr>
        <w:pageBreakBefore w:val="0"/>
        <w:kinsoku/>
        <w:wordWrap/>
        <w:overflowPunct/>
        <w:topLinePunct w:val="0"/>
        <w:bidi w:val="0"/>
        <w:spacing w:after="0" w:line="360" w:lineRule="exact"/>
        <w:ind w:left="0" w:leftChars="0"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）中标人免费提供中标设备的安装调试服务。</w:t>
      </w:r>
    </w:p>
    <w:p w14:paraId="7FA040CC">
      <w:pPr>
        <w:pStyle w:val="15"/>
        <w:keepNext w:val="0"/>
        <w:keepLines w:val="0"/>
        <w:pageBreakBefore w:val="0"/>
        <w:widowControl w:val="0"/>
        <w:kinsoku/>
        <w:wordWrap/>
        <w:overflowPunct/>
        <w:topLinePunct w:val="0"/>
        <w:autoSpaceDN/>
        <w:bidi w:val="0"/>
        <w:adjustRightInd/>
        <w:spacing w:before="0" w:beforeAutospacing="0" w:after="0" w:afterAutospacing="0" w:line="400" w:lineRule="exact"/>
        <w:ind w:right="0" w:rightChars="0" w:firstLine="480" w:firstLineChars="200"/>
        <w:jc w:val="both"/>
        <w:textAlignment w:val="auto"/>
        <w:rPr>
          <w:rFonts w:hint="eastAsia" w:eastAsia="宋体"/>
          <w:b w:val="0"/>
          <w:bCs w:val="0"/>
          <w:color w:val="auto"/>
          <w:kern w:val="2"/>
          <w:highlight w:val="none"/>
          <w:lang w:val="en-US" w:eastAsia="zh-CN" w:bidi="ar"/>
        </w:rPr>
      </w:pPr>
      <w:r>
        <w:rPr>
          <w:rFonts w:hint="eastAsia" w:ascii="宋体" w:hAnsi="宋体" w:eastAsia="宋体" w:cs="宋体"/>
          <w:b w:val="0"/>
          <w:bCs w:val="0"/>
          <w:color w:val="auto"/>
          <w:sz w:val="24"/>
          <w:szCs w:val="24"/>
          <w:highlight w:val="none"/>
        </w:rPr>
        <w:t>（</w:t>
      </w:r>
      <w:r>
        <w:rPr>
          <w:rFonts w:hint="eastAsia"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）调试所需专用工具设施材料由中标方自备、自运到现场，完工后自费搬走。</w:t>
      </w:r>
    </w:p>
    <w:p w14:paraId="052AA147">
      <w:pPr>
        <w:snapToGrid w:val="0"/>
        <w:jc w:val="center"/>
        <w:outlineLvl w:val="0"/>
        <w:rPr>
          <w:rFonts w:hint="eastAsia" w:ascii="宋体" w:hAnsi="宋体"/>
          <w:b/>
          <w:bCs/>
          <w:color w:val="auto"/>
          <w:sz w:val="30"/>
          <w:szCs w:val="30"/>
          <w:highlight w:val="none"/>
        </w:rPr>
      </w:pPr>
      <w:bookmarkStart w:id="4" w:name="_Toc2252"/>
    </w:p>
    <w:p w14:paraId="53FBE230">
      <w:pPr>
        <w:snapToGrid w:val="0"/>
        <w:jc w:val="center"/>
        <w:outlineLvl w:val="0"/>
        <w:rPr>
          <w:rFonts w:hint="eastAsia" w:ascii="宋体" w:hAnsi="宋体"/>
          <w:b/>
          <w:bCs/>
          <w:color w:val="auto"/>
          <w:sz w:val="30"/>
          <w:szCs w:val="30"/>
          <w:highlight w:val="none"/>
        </w:rPr>
      </w:pPr>
    </w:p>
    <w:p w14:paraId="5B1AB49B">
      <w:pPr>
        <w:snapToGrid w:val="0"/>
        <w:jc w:val="center"/>
        <w:outlineLvl w:val="0"/>
        <w:rPr>
          <w:rFonts w:hint="eastAsia" w:ascii="宋体" w:hAnsi="宋体"/>
          <w:b/>
          <w:bCs/>
          <w:color w:val="auto"/>
          <w:sz w:val="30"/>
          <w:szCs w:val="30"/>
          <w:highlight w:val="none"/>
        </w:rPr>
      </w:pPr>
    </w:p>
    <w:p w14:paraId="7EFAE5D5">
      <w:pPr>
        <w:rPr>
          <w:rFonts w:hint="eastAsia" w:ascii="宋体" w:hAnsi="宋体"/>
          <w:b/>
          <w:bCs/>
          <w:color w:val="auto"/>
          <w:sz w:val="30"/>
          <w:szCs w:val="30"/>
          <w:highlight w:val="none"/>
        </w:rPr>
      </w:pPr>
      <w:r>
        <w:rPr>
          <w:rFonts w:hint="eastAsia" w:ascii="宋体" w:hAnsi="宋体"/>
          <w:b/>
          <w:bCs/>
          <w:color w:val="auto"/>
          <w:sz w:val="30"/>
          <w:szCs w:val="30"/>
          <w:highlight w:val="none"/>
        </w:rPr>
        <w:br w:type="page"/>
      </w:r>
    </w:p>
    <w:p w14:paraId="45985A6B">
      <w:pPr>
        <w:snapToGrid w:val="0"/>
        <w:jc w:val="center"/>
        <w:outlineLvl w:val="0"/>
        <w:rPr>
          <w:rFonts w:hint="eastAsia" w:ascii="宋体" w:hAnsi="宋体"/>
          <w:b/>
          <w:bCs/>
          <w:color w:val="auto"/>
          <w:sz w:val="30"/>
          <w:szCs w:val="30"/>
          <w:highlight w:val="none"/>
        </w:rPr>
      </w:pPr>
      <w:r>
        <w:rPr>
          <w:rFonts w:hint="eastAsia" w:ascii="宋体" w:hAnsi="宋体"/>
          <w:b/>
          <w:bCs/>
          <w:color w:val="auto"/>
          <w:sz w:val="30"/>
          <w:szCs w:val="30"/>
          <w:highlight w:val="none"/>
        </w:rPr>
        <w:t>第三章 投标人须知</w:t>
      </w:r>
      <w:bookmarkEnd w:id="4"/>
    </w:p>
    <w:p w14:paraId="2473FA66">
      <w:pPr>
        <w:snapToGrid w:val="0"/>
        <w:spacing w:before="120" w:beforeLines="50" w:after="120" w:afterLines="50"/>
        <w:ind w:left="238"/>
        <w:jc w:val="center"/>
        <w:rPr>
          <w:rFonts w:hint="eastAsia" w:ascii="宋体" w:hAnsi="宋体"/>
          <w:b/>
          <w:color w:val="auto"/>
          <w:sz w:val="28"/>
          <w:szCs w:val="28"/>
          <w:highlight w:val="none"/>
        </w:rPr>
      </w:pPr>
      <w:r>
        <w:rPr>
          <w:rFonts w:hint="eastAsia" w:ascii="宋体" w:hAnsi="宋体"/>
          <w:b/>
          <w:color w:val="auto"/>
          <w:sz w:val="28"/>
          <w:szCs w:val="28"/>
          <w:highlight w:val="none"/>
        </w:rPr>
        <w:t>前附表</w:t>
      </w:r>
    </w:p>
    <w:tbl>
      <w:tblPr>
        <w:tblStyle w:val="17"/>
        <w:tblW w:w="97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5"/>
        <w:gridCol w:w="8985"/>
      </w:tblGrid>
      <w:tr w14:paraId="7277CE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22FD4537">
            <w:pPr>
              <w:keepNext w:val="0"/>
              <w:keepLines w:val="0"/>
              <w:pageBreakBefore w:val="0"/>
              <w:widowControl w:val="0"/>
              <w:suppressLineNumbers w:val="0"/>
              <w:kinsoku/>
              <w:wordWrap/>
              <w:overflowPunct/>
              <w:topLinePunct w:val="0"/>
              <w:bidi w:val="0"/>
              <w:adjustRightInd/>
              <w:snapToGrid w:val="0"/>
              <w:spacing w:beforeAutospacing="0" w:afterAutospacing="0" w:line="400" w:lineRule="exact"/>
              <w:ind w:left="0" w:leftChars="0" w:right="0"/>
              <w:jc w:val="center"/>
              <w:textAlignment w:val="auto"/>
              <w:rPr>
                <w:rFonts w:hint="eastAsia" w:ascii="宋体" w:hAnsi="宋体"/>
                <w:b/>
                <w:bCs/>
                <w:color w:val="auto"/>
                <w:sz w:val="24"/>
                <w:highlight w:val="none"/>
              </w:rPr>
            </w:pPr>
            <w:r>
              <w:rPr>
                <w:rFonts w:hint="eastAsia" w:ascii="宋体" w:hAnsi="宋体"/>
                <w:b/>
                <w:bCs/>
                <w:color w:val="auto"/>
                <w:sz w:val="24"/>
                <w:highlight w:val="none"/>
              </w:rPr>
              <w:t>序号</w:t>
            </w:r>
          </w:p>
        </w:tc>
        <w:tc>
          <w:tcPr>
            <w:tcW w:w="8985" w:type="dxa"/>
            <w:tcBorders>
              <w:top w:val="single" w:color="auto" w:sz="4" w:space="0"/>
              <w:left w:val="single" w:color="auto" w:sz="4" w:space="0"/>
              <w:bottom w:val="single" w:color="auto" w:sz="4" w:space="0"/>
              <w:right w:val="single" w:color="auto" w:sz="4" w:space="0"/>
            </w:tcBorders>
            <w:vAlign w:val="center"/>
          </w:tcPr>
          <w:p w14:paraId="0A83489A">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jc w:val="center"/>
              <w:rPr>
                <w:rFonts w:hint="eastAsia" w:ascii="宋体" w:hAnsi="宋体"/>
                <w:b/>
                <w:bCs/>
                <w:color w:val="auto"/>
                <w:sz w:val="24"/>
                <w:highlight w:val="none"/>
              </w:rPr>
            </w:pPr>
            <w:r>
              <w:rPr>
                <w:rFonts w:hint="eastAsia" w:ascii="宋体" w:hAnsi="宋体"/>
                <w:b/>
                <w:bCs/>
                <w:color w:val="auto"/>
                <w:sz w:val="24"/>
                <w:highlight w:val="none"/>
              </w:rPr>
              <w:t>内容、要求</w:t>
            </w:r>
          </w:p>
        </w:tc>
      </w:tr>
      <w:tr w14:paraId="100CFC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6"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6274F654">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w:t>
            </w:r>
          </w:p>
        </w:tc>
        <w:tc>
          <w:tcPr>
            <w:tcW w:w="8985" w:type="dxa"/>
            <w:tcBorders>
              <w:top w:val="single" w:color="auto" w:sz="4" w:space="0"/>
              <w:left w:val="single" w:color="auto" w:sz="4" w:space="0"/>
              <w:bottom w:val="single" w:color="auto" w:sz="4" w:space="0"/>
              <w:right w:val="single" w:color="auto" w:sz="4" w:space="0"/>
            </w:tcBorders>
            <w:vAlign w:val="center"/>
          </w:tcPr>
          <w:p w14:paraId="03407F68">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eastAsia="宋体"/>
                <w:color w:val="auto"/>
                <w:sz w:val="24"/>
                <w:highlight w:val="none"/>
                <w:lang w:eastAsia="zh-CN"/>
              </w:rPr>
            </w:pPr>
            <w:r>
              <w:rPr>
                <w:rFonts w:hint="eastAsia" w:ascii="宋体" w:hAnsi="宋体"/>
                <w:color w:val="auto"/>
                <w:sz w:val="24"/>
                <w:highlight w:val="none"/>
              </w:rPr>
              <w:t>项目名称：</w:t>
            </w:r>
            <w:r>
              <w:rPr>
                <w:rFonts w:hint="eastAsia" w:ascii="宋体" w:hAnsi="宋体"/>
                <w:color w:val="auto"/>
                <w:sz w:val="24"/>
                <w:highlight w:val="none"/>
                <w:lang w:eastAsia="zh-CN"/>
              </w:rPr>
              <w:t>江南之源文化遗址公园德清窑空气治理项目</w:t>
            </w:r>
          </w:p>
        </w:tc>
      </w:tr>
      <w:tr w14:paraId="2A5A38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7EFACF58">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2.</w:t>
            </w:r>
          </w:p>
        </w:tc>
        <w:tc>
          <w:tcPr>
            <w:tcW w:w="8985" w:type="dxa"/>
            <w:tcBorders>
              <w:top w:val="single" w:color="auto" w:sz="4" w:space="0"/>
              <w:left w:val="single" w:color="auto" w:sz="4" w:space="0"/>
              <w:bottom w:val="single" w:color="auto" w:sz="4" w:space="0"/>
              <w:right w:val="single" w:color="auto" w:sz="4" w:space="0"/>
            </w:tcBorders>
            <w:vAlign w:val="center"/>
          </w:tcPr>
          <w:p w14:paraId="613D3B7A">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olor w:val="auto"/>
                <w:sz w:val="24"/>
                <w:highlight w:val="none"/>
              </w:rPr>
            </w:pPr>
            <w:r>
              <w:rPr>
                <w:rFonts w:hint="eastAsia" w:ascii="宋体" w:hAnsi="宋体"/>
                <w:color w:val="auto"/>
                <w:sz w:val="24"/>
                <w:highlight w:val="none"/>
              </w:rPr>
              <w:t>采购数量及单位：</w:t>
            </w:r>
            <w:r>
              <w:rPr>
                <w:rFonts w:hint="eastAsia" w:ascii="宋体" w:hAnsi="宋体"/>
                <w:b/>
                <w:color w:val="auto"/>
                <w:sz w:val="24"/>
                <w:highlight w:val="none"/>
              </w:rPr>
              <w:t>详见第二章内容</w:t>
            </w:r>
          </w:p>
        </w:tc>
      </w:tr>
      <w:tr w14:paraId="18BAF0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3BA5325D">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eastAsia" w:ascii="宋体" w:hAnsi="宋体" w:cs="Times New Roman"/>
                <w:b/>
                <w:bCs/>
                <w:color w:val="auto"/>
                <w:kern w:val="2"/>
                <w:sz w:val="24"/>
                <w:szCs w:val="24"/>
                <w:highlight w:val="none"/>
                <w:lang w:val="en-US" w:eastAsia="zh-CN" w:bidi="ar-SA"/>
              </w:rPr>
              <w:t>3</w:t>
            </w:r>
            <w:r>
              <w:rPr>
                <w:rFonts w:hint="default" w:ascii="宋体" w:hAnsi="宋体" w:eastAsia="宋体" w:cs="Times New Roman"/>
                <w:b/>
                <w:bCs/>
                <w:color w:val="auto"/>
                <w:kern w:val="2"/>
                <w:sz w:val="24"/>
                <w:szCs w:val="24"/>
                <w:highlight w:val="none"/>
                <w:lang w:val="en-US" w:eastAsia="zh-CN" w:bidi="ar-SA"/>
              </w:rPr>
              <w:t>.</w:t>
            </w:r>
          </w:p>
        </w:tc>
        <w:tc>
          <w:tcPr>
            <w:tcW w:w="8985" w:type="dxa"/>
            <w:tcBorders>
              <w:top w:val="single" w:color="auto" w:sz="4" w:space="0"/>
              <w:left w:val="single" w:color="auto" w:sz="4" w:space="0"/>
              <w:bottom w:val="single" w:color="auto" w:sz="4" w:space="0"/>
              <w:right w:val="single" w:color="auto" w:sz="4" w:space="0"/>
            </w:tcBorders>
            <w:vAlign w:val="center"/>
          </w:tcPr>
          <w:p w14:paraId="2A95C5D3">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default"/>
                <w:color w:val="auto"/>
                <w:sz w:val="24"/>
                <w:highlight w:val="none"/>
              </w:rPr>
            </w:pPr>
            <w:r>
              <w:rPr>
                <w:rFonts w:hint="eastAsia"/>
                <w:color w:val="auto"/>
                <w:sz w:val="24"/>
                <w:highlight w:val="none"/>
              </w:rPr>
              <w:t>投标报价及费用：</w:t>
            </w:r>
          </w:p>
          <w:p w14:paraId="450051B2">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default"/>
                <w:color w:val="auto"/>
                <w:sz w:val="24"/>
                <w:highlight w:val="none"/>
              </w:rPr>
            </w:pPr>
            <w:r>
              <w:rPr>
                <w:rFonts w:hint="eastAsia"/>
                <w:color w:val="auto"/>
                <w:sz w:val="24"/>
                <w:highlight w:val="none"/>
              </w:rPr>
              <w:t>1、本项目投标应以人民币报价</w:t>
            </w:r>
          </w:p>
          <w:p w14:paraId="679CAA6D">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default"/>
                <w:color w:val="auto"/>
                <w:sz w:val="24"/>
                <w:highlight w:val="none"/>
              </w:rPr>
            </w:pPr>
            <w:r>
              <w:rPr>
                <w:rFonts w:hint="eastAsia"/>
                <w:color w:val="auto"/>
                <w:sz w:val="24"/>
                <w:highlight w:val="none"/>
              </w:rPr>
              <w:t>2、不论投标结果如何，投标人均应自行承担所有与投标有关的全部费用。</w:t>
            </w:r>
          </w:p>
          <w:p w14:paraId="0AA60E87">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s="宋体"/>
                <w:b/>
                <w:bCs/>
                <w:color w:val="auto"/>
                <w:sz w:val="24"/>
                <w:highlight w:val="none"/>
              </w:rPr>
            </w:pPr>
            <w:r>
              <w:rPr>
                <w:rFonts w:hint="eastAsia" w:ascii="宋体" w:hAnsi="宋体" w:cs="宋体"/>
                <w:b/>
                <w:bCs/>
                <w:color w:val="auto"/>
                <w:sz w:val="24"/>
                <w:highlight w:val="none"/>
              </w:rPr>
              <w:t>3、项目招标代理服务费由中标人支付，招标代理服务费按照原国家计委关于印发《招标代理服务收费管理暂行办法》的通知（计价格[2002]1980号）的收费标准（</w:t>
            </w:r>
            <w:r>
              <w:rPr>
                <w:rFonts w:hint="eastAsia" w:ascii="宋体" w:hAnsi="宋体" w:cs="宋体"/>
                <w:b/>
                <w:bCs/>
                <w:color w:val="auto"/>
                <w:sz w:val="24"/>
                <w:highlight w:val="none"/>
                <w:lang w:val="en-US" w:eastAsia="zh-CN"/>
              </w:rPr>
              <w:t>货物</w:t>
            </w:r>
            <w:r>
              <w:rPr>
                <w:rFonts w:hint="eastAsia" w:ascii="宋体" w:hAnsi="宋体" w:cs="宋体"/>
                <w:b/>
                <w:bCs/>
                <w:color w:val="auto"/>
                <w:sz w:val="24"/>
                <w:highlight w:val="none"/>
              </w:rPr>
              <w:t>类）的40%收取，最终以中标价进行结算，不足壹万元按壹万元计，由中标人领取中标通知书</w:t>
            </w:r>
            <w:r>
              <w:rPr>
                <w:rFonts w:hint="eastAsia" w:ascii="宋体" w:hAnsi="宋体" w:cs="宋体"/>
                <w:b/>
                <w:bCs/>
                <w:color w:val="auto"/>
                <w:sz w:val="24"/>
                <w:highlight w:val="none"/>
                <w:lang w:val="en-US" w:eastAsia="zh-CN"/>
              </w:rPr>
              <w:t>前</w:t>
            </w:r>
            <w:r>
              <w:rPr>
                <w:rFonts w:hint="eastAsia" w:ascii="宋体" w:hAnsi="宋体" w:cs="宋体"/>
                <w:b/>
                <w:bCs/>
                <w:color w:val="auto"/>
                <w:sz w:val="24"/>
                <w:highlight w:val="none"/>
              </w:rPr>
              <w:t>支付给代理机构。</w:t>
            </w:r>
          </w:p>
          <w:p w14:paraId="717B7126">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default"/>
                <w:color w:val="auto"/>
                <w:sz w:val="24"/>
                <w:highlight w:val="none"/>
              </w:rPr>
            </w:pPr>
            <w:r>
              <w:rPr>
                <w:rFonts w:hint="eastAsia" w:ascii="宋体" w:hAnsi="宋体" w:cs="宋体"/>
                <w:b/>
                <w:bCs/>
                <w:color w:val="auto"/>
                <w:sz w:val="24"/>
                <w:highlight w:val="none"/>
              </w:rPr>
              <w:t>4、</w:t>
            </w:r>
            <w:r>
              <w:rPr>
                <w:rFonts w:hint="eastAsia" w:ascii="宋体" w:hAnsi="宋体" w:cs="宋体"/>
                <w:b/>
                <w:bCs/>
                <w:color w:val="auto"/>
                <w:sz w:val="24"/>
                <w:highlight w:val="none"/>
              </w:rPr>
              <w:t>交易服务费由招标单位和中标单位各自承担</w:t>
            </w:r>
            <w:r>
              <w:rPr>
                <w:rFonts w:hint="eastAsia" w:ascii="宋体" w:hAnsi="宋体" w:cs="宋体"/>
                <w:b/>
                <w:bCs/>
                <w:color w:val="auto"/>
                <w:sz w:val="24"/>
                <w:highlight w:val="none"/>
              </w:rPr>
              <w:t>，此项为不可竞争费用，由投标单位报价时自行考虑，具体收费标准见后附件。</w:t>
            </w:r>
          </w:p>
        </w:tc>
      </w:tr>
      <w:tr w14:paraId="0084DB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047E9A6C">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4.</w:t>
            </w:r>
          </w:p>
        </w:tc>
        <w:tc>
          <w:tcPr>
            <w:tcW w:w="8985" w:type="dxa"/>
            <w:tcBorders>
              <w:top w:val="single" w:color="auto" w:sz="4" w:space="0"/>
              <w:left w:val="single" w:color="auto" w:sz="4" w:space="0"/>
              <w:bottom w:val="single" w:color="auto" w:sz="4" w:space="0"/>
              <w:right w:val="single" w:color="auto" w:sz="4" w:space="0"/>
            </w:tcBorders>
            <w:vAlign w:val="center"/>
          </w:tcPr>
          <w:p w14:paraId="7A3EE2AD">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olor w:val="auto"/>
                <w:sz w:val="24"/>
                <w:highlight w:val="none"/>
              </w:rPr>
            </w:pPr>
            <w:r>
              <w:rPr>
                <w:rFonts w:hint="eastAsia" w:ascii="宋体" w:hAnsi="宋体"/>
                <w:color w:val="auto"/>
                <w:sz w:val="24"/>
                <w:highlight w:val="none"/>
              </w:rPr>
              <w:t>投标保证金：</w:t>
            </w:r>
            <w:r>
              <w:rPr>
                <w:rFonts w:hint="eastAsia" w:ascii="宋体" w:hAnsi="宋体" w:cs="宋体"/>
                <w:b/>
                <w:color w:val="auto"/>
                <w:sz w:val="24"/>
                <w:highlight w:val="none"/>
              </w:rPr>
              <w:t>参见招标公告</w:t>
            </w:r>
          </w:p>
        </w:tc>
      </w:tr>
      <w:tr w14:paraId="667779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1F80B344">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5.</w:t>
            </w:r>
          </w:p>
        </w:tc>
        <w:tc>
          <w:tcPr>
            <w:tcW w:w="8985" w:type="dxa"/>
            <w:tcBorders>
              <w:top w:val="single" w:color="auto" w:sz="4" w:space="0"/>
              <w:left w:val="single" w:color="auto" w:sz="4" w:space="0"/>
              <w:bottom w:val="single" w:color="auto" w:sz="4" w:space="0"/>
              <w:right w:val="single" w:color="auto" w:sz="4" w:space="0"/>
            </w:tcBorders>
            <w:vAlign w:val="center"/>
          </w:tcPr>
          <w:p w14:paraId="2BDE6F36">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olor w:val="auto"/>
                <w:sz w:val="24"/>
                <w:highlight w:val="none"/>
              </w:rPr>
            </w:pPr>
            <w:r>
              <w:rPr>
                <w:rFonts w:hint="eastAsia" w:ascii="宋体" w:hAnsi="宋体" w:cs="宋体"/>
                <w:b/>
                <w:color w:val="auto"/>
                <w:sz w:val="24"/>
                <w:highlight w:val="none"/>
              </w:rPr>
              <w:t>投标人提疑的截止时间:</w:t>
            </w:r>
            <w:r>
              <w:rPr>
                <w:rFonts w:hint="eastAsia" w:ascii="宋体" w:hAnsi="宋体" w:cs="宋体"/>
                <w:b/>
                <w:color w:val="auto"/>
                <w:sz w:val="24"/>
                <w:highlight w:val="none"/>
              </w:rPr>
              <w:t>202</w:t>
            </w:r>
            <w:r>
              <w:rPr>
                <w:rFonts w:hint="eastAsia" w:ascii="宋体" w:hAnsi="宋体" w:cs="宋体"/>
                <w:b/>
                <w:color w:val="auto"/>
                <w:sz w:val="24"/>
                <w:highlight w:val="none"/>
                <w:lang w:val="en-US" w:eastAsia="zh-CN"/>
              </w:rPr>
              <w:t>6</w:t>
            </w:r>
            <w:r>
              <w:rPr>
                <w:rFonts w:hint="eastAsia" w:ascii="宋体" w:hAnsi="宋体" w:cs="宋体"/>
                <w:b/>
                <w:color w:val="auto"/>
                <w:sz w:val="24"/>
                <w:highlight w:val="none"/>
              </w:rPr>
              <w:t>年</w:t>
            </w:r>
            <w:r>
              <w:rPr>
                <w:rFonts w:hint="eastAsia" w:ascii="宋体" w:hAnsi="宋体" w:cs="宋体"/>
                <w:b/>
                <w:color w:val="auto"/>
                <w:sz w:val="24"/>
                <w:highlight w:val="none"/>
                <w:lang w:val="en-US" w:eastAsia="zh-CN"/>
              </w:rPr>
              <w:t>10</w:t>
            </w:r>
            <w:r>
              <w:rPr>
                <w:rFonts w:hint="eastAsia" w:ascii="宋体" w:hAnsi="宋体" w:cs="宋体"/>
                <w:b/>
                <w:color w:val="auto"/>
                <w:sz w:val="24"/>
                <w:highlight w:val="none"/>
              </w:rPr>
              <w:t>月</w:t>
            </w:r>
            <w:r>
              <w:rPr>
                <w:rFonts w:hint="eastAsia" w:ascii="宋体" w:hAnsi="宋体" w:cs="宋体"/>
                <w:b/>
                <w:color w:val="auto"/>
                <w:sz w:val="24"/>
                <w:highlight w:val="none"/>
                <w:lang w:val="en-US" w:eastAsia="zh-CN"/>
              </w:rPr>
              <w:t>23</w:t>
            </w:r>
            <w:r>
              <w:rPr>
                <w:rFonts w:hint="eastAsia" w:ascii="宋体" w:hAnsi="宋体" w:cs="宋体"/>
                <w:b/>
                <w:color w:val="auto"/>
                <w:sz w:val="24"/>
                <w:highlight w:val="none"/>
              </w:rPr>
              <w:t>日</w:t>
            </w:r>
            <w:r>
              <w:rPr>
                <w:rFonts w:hint="eastAsia" w:ascii="宋体" w:hAnsi="宋体" w:cs="宋体"/>
                <w:b/>
                <w:color w:val="auto"/>
                <w:sz w:val="24"/>
                <w:highlight w:val="none"/>
              </w:rPr>
              <w:t>9时</w:t>
            </w:r>
            <w:r>
              <w:rPr>
                <w:rFonts w:hint="eastAsia" w:ascii="宋体" w:hAnsi="宋体" w:cs="宋体"/>
                <w:b/>
                <w:color w:val="auto"/>
                <w:sz w:val="24"/>
                <w:highlight w:val="none"/>
                <w:lang w:val="en-US" w:eastAsia="zh-CN"/>
              </w:rPr>
              <w:t>00</w:t>
            </w:r>
            <w:r>
              <w:rPr>
                <w:rFonts w:hint="eastAsia" w:ascii="宋体" w:hAnsi="宋体" w:cs="宋体"/>
                <w:b/>
                <w:color w:val="auto"/>
                <w:sz w:val="24"/>
                <w:highlight w:val="none"/>
              </w:rPr>
              <w:t>分</w:t>
            </w:r>
          </w:p>
        </w:tc>
      </w:tr>
      <w:tr w14:paraId="3B07AE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9"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51C3BC2">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6.</w:t>
            </w:r>
          </w:p>
        </w:tc>
        <w:tc>
          <w:tcPr>
            <w:tcW w:w="8985" w:type="dxa"/>
            <w:tcBorders>
              <w:top w:val="single" w:color="auto" w:sz="4" w:space="0"/>
              <w:left w:val="single" w:color="auto" w:sz="4" w:space="0"/>
              <w:bottom w:val="single" w:color="auto" w:sz="4" w:space="0"/>
              <w:right w:val="single" w:color="auto" w:sz="4" w:space="0"/>
            </w:tcBorders>
            <w:vAlign w:val="center"/>
          </w:tcPr>
          <w:p w14:paraId="5C3ADD7E">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疑：投标人对招标文件等有任何疑问，应于规定的提疑截止时间前通过登录湖州市绿色采购服务平台-供应商登录-进入项目-网上提问，进行提疑；或于规定的提疑截止时间前在湖州绿色采购服务平台(http://www.hzlscgfw.cn/)-“招标公告”中相应项目的公告中的“提问”区进行提疑；</w:t>
            </w:r>
          </w:p>
          <w:p w14:paraId="4CE5E6A9">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答疑澄清：无论是招标人根据需要主动对招标文件进行必要的澄清，或是根据投标人的对招标文件提交的疑问，招标人都将于规定的投标截止时间前通过湖州市绿色采购服务平台进行发布；</w:t>
            </w:r>
          </w:p>
          <w:p w14:paraId="5A775321">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olor w:val="auto"/>
                <w:sz w:val="24"/>
                <w:highlight w:val="none"/>
              </w:rPr>
            </w:pPr>
            <w:r>
              <w:rPr>
                <w:rFonts w:hint="eastAsia" w:ascii="宋体" w:hAnsi="宋体" w:eastAsia="宋体" w:cs="宋体"/>
                <w:color w:val="auto"/>
                <w:sz w:val="24"/>
                <w:szCs w:val="24"/>
                <w:highlight w:val="none"/>
              </w:rPr>
              <w:t>查看答疑：投标人应在截标时间前登录湖州市绿色采购服务平台-相应项目公告中的“答疑信息”区随时查看系统中有关该项目的答疑澄清等内容。否则，由此引起的投标损失自负。</w:t>
            </w:r>
          </w:p>
        </w:tc>
      </w:tr>
      <w:tr w14:paraId="7AE279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E4A1146">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7.</w:t>
            </w:r>
          </w:p>
        </w:tc>
        <w:tc>
          <w:tcPr>
            <w:tcW w:w="8985" w:type="dxa"/>
            <w:tcBorders>
              <w:top w:val="single" w:color="auto" w:sz="4" w:space="0"/>
              <w:left w:val="single" w:color="auto" w:sz="4" w:space="0"/>
              <w:bottom w:val="single" w:color="auto" w:sz="4" w:space="0"/>
              <w:right w:val="single" w:color="auto" w:sz="4" w:space="0"/>
            </w:tcBorders>
            <w:vAlign w:val="center"/>
          </w:tcPr>
          <w:p w14:paraId="7EFED10E">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olor w:val="auto"/>
                <w:sz w:val="24"/>
                <w:highlight w:val="none"/>
              </w:rPr>
            </w:pPr>
            <w:r>
              <w:rPr>
                <w:rFonts w:hint="eastAsia" w:ascii="宋体" w:hAnsi="宋体" w:cs="宋体"/>
                <w:b/>
                <w:color w:val="auto"/>
                <w:sz w:val="24"/>
                <w:highlight w:val="none"/>
              </w:rPr>
              <w:t>投标文件组成：技术、资信商务、报价文件</w:t>
            </w:r>
          </w:p>
        </w:tc>
      </w:tr>
      <w:tr w14:paraId="7BDACD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1AD3AB9B">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8.</w:t>
            </w:r>
          </w:p>
        </w:tc>
        <w:tc>
          <w:tcPr>
            <w:tcW w:w="8985" w:type="dxa"/>
            <w:tcBorders>
              <w:top w:val="single" w:color="auto" w:sz="4" w:space="0"/>
              <w:left w:val="single" w:color="auto" w:sz="4" w:space="0"/>
              <w:bottom w:val="single" w:color="auto" w:sz="4" w:space="0"/>
              <w:right w:val="single" w:color="auto" w:sz="4" w:space="0"/>
            </w:tcBorders>
            <w:vAlign w:val="center"/>
          </w:tcPr>
          <w:p w14:paraId="40E01830">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s="宋体"/>
                <w:color w:val="auto"/>
                <w:sz w:val="24"/>
                <w:highlight w:val="none"/>
              </w:rPr>
            </w:pPr>
            <w:r>
              <w:rPr>
                <w:rFonts w:hint="eastAsia" w:ascii="宋体" w:hAnsi="宋体" w:cs="宋体"/>
                <w:b/>
                <w:color w:val="auto"/>
                <w:sz w:val="24"/>
                <w:highlight w:val="none"/>
              </w:rPr>
              <w:t>投标截止时间及地点：</w:t>
            </w:r>
            <w:r>
              <w:rPr>
                <w:rFonts w:hint="eastAsia" w:ascii="宋体" w:hAnsi="宋体" w:cs="宋体"/>
                <w:b/>
                <w:color w:val="auto"/>
                <w:sz w:val="24"/>
                <w:highlight w:val="none"/>
              </w:rPr>
              <w:t>202</w:t>
            </w:r>
            <w:r>
              <w:rPr>
                <w:rFonts w:hint="eastAsia" w:ascii="宋体" w:hAnsi="宋体" w:cs="宋体"/>
                <w:b/>
                <w:color w:val="auto"/>
                <w:sz w:val="24"/>
                <w:highlight w:val="none"/>
                <w:lang w:val="en-US" w:eastAsia="zh-CN"/>
              </w:rPr>
              <w:t>6</w:t>
            </w:r>
            <w:r>
              <w:rPr>
                <w:rFonts w:hint="eastAsia" w:ascii="宋体" w:hAnsi="宋体" w:cs="宋体"/>
                <w:b/>
                <w:color w:val="auto"/>
                <w:sz w:val="24"/>
                <w:highlight w:val="none"/>
              </w:rPr>
              <w:t>年</w:t>
            </w:r>
            <w:r>
              <w:rPr>
                <w:rFonts w:hint="eastAsia" w:ascii="宋体" w:hAnsi="宋体" w:cs="宋体"/>
                <w:b/>
                <w:color w:val="auto"/>
                <w:sz w:val="24"/>
                <w:highlight w:val="none"/>
                <w:lang w:val="en-US" w:eastAsia="zh-CN"/>
              </w:rPr>
              <w:t>10</w:t>
            </w:r>
            <w:r>
              <w:rPr>
                <w:rFonts w:hint="eastAsia" w:ascii="宋体" w:hAnsi="宋体" w:cs="宋体"/>
                <w:b/>
                <w:color w:val="auto"/>
                <w:sz w:val="24"/>
                <w:highlight w:val="none"/>
              </w:rPr>
              <w:t>月</w:t>
            </w:r>
            <w:r>
              <w:rPr>
                <w:rFonts w:hint="eastAsia" w:ascii="宋体" w:hAnsi="宋体" w:cs="宋体"/>
                <w:b/>
                <w:color w:val="auto"/>
                <w:sz w:val="24"/>
                <w:highlight w:val="none"/>
                <w:lang w:val="en-US" w:eastAsia="zh-CN"/>
              </w:rPr>
              <w:t>26</w:t>
            </w:r>
            <w:r>
              <w:rPr>
                <w:rFonts w:hint="eastAsia" w:ascii="宋体" w:hAnsi="宋体" w:cs="宋体"/>
                <w:b/>
                <w:color w:val="auto"/>
                <w:sz w:val="24"/>
                <w:highlight w:val="none"/>
              </w:rPr>
              <w:t>日</w:t>
            </w:r>
            <w:r>
              <w:rPr>
                <w:rFonts w:hint="eastAsia" w:ascii="宋体" w:hAnsi="宋体" w:cs="宋体"/>
                <w:b/>
                <w:bCs/>
                <w:color w:val="auto"/>
                <w:sz w:val="24"/>
                <w:highlight w:val="none"/>
              </w:rPr>
              <w:t>9时</w:t>
            </w:r>
            <w:r>
              <w:rPr>
                <w:rFonts w:hint="eastAsia" w:ascii="宋体" w:hAnsi="宋体" w:cs="宋体"/>
                <w:b/>
                <w:bCs/>
                <w:color w:val="auto"/>
                <w:sz w:val="24"/>
                <w:highlight w:val="none"/>
                <w:lang w:val="en-US" w:eastAsia="zh-CN"/>
              </w:rPr>
              <w:t>0</w:t>
            </w:r>
            <w:r>
              <w:rPr>
                <w:rFonts w:hint="eastAsia" w:ascii="宋体" w:hAnsi="宋体" w:cs="宋体"/>
                <w:b/>
                <w:bCs/>
                <w:color w:val="auto"/>
                <w:sz w:val="24"/>
                <w:highlight w:val="none"/>
              </w:rPr>
              <w:t>0分前（以电子交易平台时间为准）</w:t>
            </w:r>
            <w:r>
              <w:rPr>
                <w:rFonts w:hint="eastAsia" w:ascii="宋体" w:hAnsi="宋体" w:cs="宋体"/>
                <w:color w:val="auto"/>
                <w:sz w:val="24"/>
                <w:highlight w:val="none"/>
              </w:rPr>
              <w:t>。</w:t>
            </w:r>
          </w:p>
        </w:tc>
      </w:tr>
      <w:tr w14:paraId="691A32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19E67DC7">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9.</w:t>
            </w:r>
          </w:p>
        </w:tc>
        <w:tc>
          <w:tcPr>
            <w:tcW w:w="8985" w:type="dxa"/>
            <w:tcBorders>
              <w:top w:val="single" w:color="auto" w:sz="4" w:space="0"/>
              <w:left w:val="single" w:color="auto" w:sz="4" w:space="0"/>
              <w:bottom w:val="single" w:color="auto" w:sz="4" w:space="0"/>
              <w:right w:val="single" w:color="auto" w:sz="4" w:space="0"/>
            </w:tcBorders>
            <w:vAlign w:val="center"/>
          </w:tcPr>
          <w:p w14:paraId="34C05793">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olor w:val="auto"/>
                <w:sz w:val="24"/>
                <w:highlight w:val="none"/>
              </w:rPr>
            </w:pPr>
            <w:r>
              <w:rPr>
                <w:rFonts w:hint="eastAsia" w:ascii="宋体" w:hAnsi="宋体" w:cs="宋体"/>
                <w:b/>
                <w:color w:val="auto"/>
                <w:sz w:val="24"/>
                <w:highlight w:val="none"/>
              </w:rPr>
              <w:t>评标办法及评分标准：</w:t>
            </w:r>
            <w:r>
              <w:rPr>
                <w:rFonts w:hint="eastAsia" w:ascii="宋体" w:hAnsi="宋体" w:cs="宋体"/>
                <w:color w:val="auto"/>
                <w:sz w:val="24"/>
                <w:highlight w:val="none"/>
              </w:rPr>
              <w:t>详见第四章</w:t>
            </w:r>
          </w:p>
        </w:tc>
      </w:tr>
      <w:tr w14:paraId="052649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1"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25F390D0">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10.</w:t>
            </w:r>
          </w:p>
        </w:tc>
        <w:tc>
          <w:tcPr>
            <w:tcW w:w="8985" w:type="dxa"/>
            <w:tcBorders>
              <w:top w:val="single" w:color="auto" w:sz="4" w:space="0"/>
              <w:left w:val="single" w:color="auto" w:sz="4" w:space="0"/>
              <w:bottom w:val="single" w:color="auto" w:sz="4" w:space="0"/>
              <w:right w:val="single" w:color="auto" w:sz="4" w:space="0"/>
            </w:tcBorders>
            <w:vAlign w:val="center"/>
          </w:tcPr>
          <w:p w14:paraId="1AAB1127">
            <w:pPr>
              <w:keepNext w:val="0"/>
              <w:keepLines w:val="0"/>
              <w:pageBreakBefore w:val="0"/>
              <w:suppressLineNumbers w:val="0"/>
              <w:kinsoku/>
              <w:wordWrap/>
              <w:overflowPunct/>
              <w:topLinePunct w:val="0"/>
              <w:autoSpaceDE w:val="0"/>
              <w:autoSpaceDN w:val="0"/>
              <w:bidi w:val="0"/>
              <w:adjustRightInd/>
              <w:snapToGrid w:val="0"/>
              <w:spacing w:beforeAutospacing="0" w:afterAutospacing="0" w:line="400" w:lineRule="exact"/>
              <w:ind w:left="0" w:leftChars="0" w:right="0"/>
              <w:textAlignment w:val="bottom"/>
              <w:rPr>
                <w:rFonts w:hint="eastAsia" w:ascii="宋体" w:hAnsi="宋体"/>
                <w:color w:val="auto"/>
                <w:sz w:val="24"/>
                <w:highlight w:val="none"/>
              </w:rPr>
            </w:pPr>
            <w:r>
              <w:rPr>
                <w:rFonts w:hint="eastAsia" w:ascii="宋体" w:hAnsi="宋体" w:cs="宋体"/>
                <w:b/>
                <w:bCs/>
                <w:color w:val="auto"/>
                <w:sz w:val="24"/>
                <w:highlight w:val="none"/>
              </w:rPr>
              <w:t>注册及标书制作工具下载网址：</w:t>
            </w:r>
            <w:r>
              <w:rPr>
                <w:rFonts w:hint="eastAsia" w:ascii="宋体" w:hAnsi="宋体" w:cs="宋体"/>
                <w:b/>
                <w:bCs/>
                <w:color w:val="auto"/>
                <w:sz w:val="24"/>
                <w:highlight w:val="none"/>
                <w:u w:val="single"/>
              </w:rPr>
              <w:t>湖州市绿色采购服务平台 (http://www.hzlscgfw.cn/)</w:t>
            </w:r>
          </w:p>
        </w:tc>
      </w:tr>
      <w:tr w14:paraId="4F6EE0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8AAC668">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11.</w:t>
            </w:r>
          </w:p>
        </w:tc>
        <w:tc>
          <w:tcPr>
            <w:tcW w:w="8985" w:type="dxa"/>
            <w:tcBorders>
              <w:top w:val="single" w:color="auto" w:sz="4" w:space="0"/>
              <w:left w:val="single" w:color="auto" w:sz="4" w:space="0"/>
              <w:bottom w:val="single" w:color="auto" w:sz="4" w:space="0"/>
              <w:right w:val="single" w:color="auto" w:sz="4" w:space="0"/>
            </w:tcBorders>
            <w:vAlign w:val="center"/>
          </w:tcPr>
          <w:p w14:paraId="5C27DF2A">
            <w:pPr>
              <w:keepNext w:val="0"/>
              <w:keepLines w:val="0"/>
              <w:pageBreakBefore w:val="0"/>
              <w:suppressLineNumbers w:val="0"/>
              <w:kinsoku/>
              <w:wordWrap/>
              <w:overflowPunct/>
              <w:topLinePunct w:val="0"/>
              <w:autoSpaceDE w:val="0"/>
              <w:autoSpaceDN w:val="0"/>
              <w:bidi w:val="0"/>
              <w:adjustRightInd/>
              <w:snapToGrid w:val="0"/>
              <w:spacing w:beforeAutospacing="0" w:afterAutospacing="0" w:line="400" w:lineRule="exact"/>
              <w:ind w:left="0" w:leftChars="0" w:right="0"/>
              <w:textAlignment w:val="bottom"/>
              <w:rPr>
                <w:rFonts w:hint="eastAsia" w:ascii="宋体" w:hAnsi="宋体"/>
                <w:color w:val="auto"/>
                <w:kern w:val="0"/>
                <w:sz w:val="24"/>
                <w:highlight w:val="none"/>
              </w:rPr>
            </w:pPr>
            <w:r>
              <w:rPr>
                <w:rFonts w:hint="eastAsia" w:ascii="宋体" w:hAnsi="宋体" w:cs="宋体"/>
                <w:b/>
                <w:bCs/>
                <w:color w:val="auto"/>
                <w:sz w:val="24"/>
                <w:highlight w:val="none"/>
              </w:rPr>
              <w:t>投标文件递交;投标文件（CA 加密后的电子投标文件）：在投标截止时间前登录湖州市绿色采购服务平台——供应商登录—“上传投标文件”模块上传；</w:t>
            </w:r>
          </w:p>
        </w:tc>
      </w:tr>
      <w:tr w14:paraId="65C512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35" w:type="dxa"/>
            <w:tcBorders>
              <w:top w:val="single" w:color="auto" w:sz="4" w:space="0"/>
              <w:left w:val="single" w:color="auto" w:sz="4" w:space="0"/>
              <w:right w:val="single" w:color="auto" w:sz="4" w:space="0"/>
            </w:tcBorders>
            <w:vAlign w:val="center"/>
          </w:tcPr>
          <w:p w14:paraId="3B400B70">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12.</w:t>
            </w:r>
          </w:p>
        </w:tc>
        <w:tc>
          <w:tcPr>
            <w:tcW w:w="8985" w:type="dxa"/>
            <w:tcBorders>
              <w:top w:val="single" w:color="auto" w:sz="4" w:space="0"/>
              <w:left w:val="single" w:color="auto" w:sz="4" w:space="0"/>
              <w:bottom w:val="single" w:color="auto" w:sz="4" w:space="0"/>
              <w:right w:val="single" w:color="auto" w:sz="4" w:space="0"/>
            </w:tcBorders>
            <w:vAlign w:val="center"/>
          </w:tcPr>
          <w:p w14:paraId="5B034A4D">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color w:val="auto"/>
                <w:sz w:val="24"/>
                <w:highlight w:val="none"/>
              </w:rPr>
            </w:pPr>
            <w:r>
              <w:rPr>
                <w:rFonts w:hint="eastAsia" w:ascii="宋体" w:hAnsi="宋体" w:cs="宋体"/>
                <w:b/>
                <w:color w:val="auto"/>
                <w:sz w:val="24"/>
                <w:highlight w:val="none"/>
              </w:rPr>
              <w:t>开标时间：同投标截止时间</w:t>
            </w:r>
          </w:p>
          <w:p w14:paraId="3234435D">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color w:val="auto"/>
                <w:sz w:val="24"/>
                <w:highlight w:val="none"/>
              </w:rPr>
            </w:pPr>
            <w:r>
              <w:rPr>
                <w:rFonts w:hint="eastAsia" w:ascii="宋体" w:hAnsi="宋体" w:cs="宋体"/>
                <w:b/>
                <w:color w:val="auto"/>
                <w:sz w:val="24"/>
                <w:highlight w:val="none"/>
              </w:rPr>
              <w:t>开标地点：网上远程不见面开标大厅</w:t>
            </w:r>
          </w:p>
          <w:p w14:paraId="343F4416">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olor w:val="auto"/>
                <w:sz w:val="24"/>
                <w:highlight w:val="none"/>
              </w:rPr>
            </w:pPr>
            <w:r>
              <w:rPr>
                <w:rFonts w:hint="eastAsia" w:ascii="宋体" w:hAnsi="宋体" w:cs="宋体"/>
                <w:b/>
                <w:color w:val="auto"/>
                <w:sz w:val="24"/>
                <w:highlight w:val="none"/>
              </w:rPr>
              <w:t>网上不见面开标大厅登录方式：</w:t>
            </w:r>
            <w:r>
              <w:rPr>
                <w:rFonts w:hint="eastAsia" w:ascii="宋体" w:hAnsi="宋体" w:cs="宋体"/>
                <w:b/>
                <w:bCs/>
                <w:color w:val="auto"/>
                <w:sz w:val="24"/>
                <w:highlight w:val="none"/>
              </w:rPr>
              <w:t>湖州市绿色采购服务平台-选择不见面开标大厅登录即可</w:t>
            </w:r>
            <w:r>
              <w:rPr>
                <w:rFonts w:hint="eastAsia" w:ascii="宋体" w:hAnsi="宋体" w:cs="宋体"/>
                <w:color w:val="auto"/>
                <w:sz w:val="24"/>
                <w:highlight w:val="none"/>
              </w:rPr>
              <w:t>。</w:t>
            </w:r>
            <w:r>
              <w:rPr>
                <w:rFonts w:hint="eastAsia" w:ascii="宋体" w:hAnsi="宋体" w:cs="宋体"/>
                <w:b/>
                <w:color w:val="auto"/>
                <w:sz w:val="24"/>
                <w:highlight w:val="none"/>
              </w:rPr>
              <w:t>网址：</w:t>
            </w:r>
            <w:r>
              <w:rPr>
                <w:rFonts w:hint="eastAsia" w:ascii="宋体" w:hAnsi="宋体" w:cs="宋体"/>
                <w:b/>
                <w:bCs/>
                <w:color w:val="auto"/>
                <w:sz w:val="24"/>
                <w:highlight w:val="none"/>
              </w:rPr>
              <w:t>http://www.hzlscgfw.cn/</w:t>
            </w:r>
          </w:p>
        </w:tc>
      </w:tr>
      <w:tr w14:paraId="2A5388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1FD4FBF6">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13.</w:t>
            </w:r>
          </w:p>
        </w:tc>
        <w:tc>
          <w:tcPr>
            <w:tcW w:w="8985" w:type="dxa"/>
            <w:tcBorders>
              <w:top w:val="single" w:color="auto" w:sz="4" w:space="0"/>
              <w:left w:val="single" w:color="auto" w:sz="4" w:space="0"/>
              <w:bottom w:val="single" w:color="auto" w:sz="4" w:space="0"/>
              <w:right w:val="single" w:color="auto" w:sz="4" w:space="0"/>
            </w:tcBorders>
            <w:vAlign w:val="center"/>
          </w:tcPr>
          <w:p w14:paraId="56AEDCAD">
            <w:pPr>
              <w:keepNext w:val="0"/>
              <w:keepLines w:val="0"/>
              <w:pageBreakBefore w:val="0"/>
              <w:suppressLineNumbers w:val="0"/>
              <w:kinsoku/>
              <w:wordWrap/>
              <w:overflowPunct/>
              <w:topLinePunct w:val="0"/>
              <w:autoSpaceDE w:val="0"/>
              <w:autoSpaceDN w:val="0"/>
              <w:bidi w:val="0"/>
              <w:adjustRightInd/>
              <w:snapToGrid w:val="0"/>
              <w:spacing w:beforeAutospacing="0" w:afterAutospacing="0" w:line="400" w:lineRule="exact"/>
              <w:ind w:left="0" w:leftChars="0" w:right="0"/>
              <w:textAlignment w:val="bottom"/>
              <w:rPr>
                <w:rFonts w:hint="eastAsia" w:ascii="宋体" w:hAnsi="宋体"/>
                <w:color w:val="auto"/>
                <w:sz w:val="24"/>
                <w:highlight w:val="none"/>
              </w:rPr>
            </w:pPr>
            <w:r>
              <w:rPr>
                <w:rFonts w:hint="eastAsia" w:ascii="宋体" w:hAnsi="宋体" w:cs="宋体"/>
                <w:b/>
                <w:bCs/>
                <w:color w:val="auto"/>
                <w:sz w:val="24"/>
                <w:highlight w:val="none"/>
              </w:rPr>
              <w:t>电子招标投标：</w:t>
            </w:r>
            <w:r>
              <w:rPr>
                <w:rFonts w:hint="eastAsia" w:ascii="宋体" w:hAnsi="宋体" w:cs="宋体"/>
                <w:b/>
                <w:color w:val="auto"/>
                <w:sz w:val="24"/>
                <w:highlight w:val="none"/>
              </w:rPr>
              <w:t>1、各投标人须提供符合要求的CA加密后的电子投标文件、有效的CA锁供投标现场解密；2、招标人对各投标文件的现场解密。因投标人原因造成投标文件未解密的，视为撤销其投标文件；因投标人之外的原因造成投标文件未解密的，视为撤回其投标文件。</w:t>
            </w:r>
          </w:p>
        </w:tc>
      </w:tr>
      <w:tr w14:paraId="1C30B1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1"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09E93976">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14.</w:t>
            </w:r>
          </w:p>
        </w:tc>
        <w:tc>
          <w:tcPr>
            <w:tcW w:w="8985" w:type="dxa"/>
            <w:tcBorders>
              <w:top w:val="single" w:color="auto" w:sz="4" w:space="0"/>
              <w:left w:val="single" w:color="auto" w:sz="4" w:space="0"/>
              <w:bottom w:val="single" w:color="auto" w:sz="4" w:space="0"/>
              <w:right w:val="single" w:color="auto" w:sz="4" w:space="0"/>
            </w:tcBorders>
            <w:vAlign w:val="center"/>
          </w:tcPr>
          <w:p w14:paraId="50728D0C">
            <w:pPr>
              <w:keepNext w:val="0"/>
              <w:keepLines w:val="0"/>
              <w:pageBreakBefore w:val="0"/>
              <w:widowControl/>
              <w:suppressLineNumbers w:val="0"/>
              <w:kinsoku/>
              <w:wordWrap/>
              <w:overflowPunct/>
              <w:topLinePunct w:val="0"/>
              <w:bidi w:val="0"/>
              <w:adjustRightInd/>
              <w:spacing w:beforeAutospacing="0" w:afterAutospacing="0" w:line="400" w:lineRule="exact"/>
              <w:ind w:left="0" w:leftChars="0" w:right="0"/>
              <w:jc w:val="left"/>
              <w:rPr>
                <w:rFonts w:hint="eastAsia" w:ascii="宋体" w:hAnsi="宋体"/>
                <w:b/>
                <w:bCs/>
                <w:color w:val="auto"/>
                <w:sz w:val="24"/>
                <w:highlight w:val="none"/>
              </w:rPr>
            </w:pPr>
            <w:r>
              <w:rPr>
                <w:rFonts w:hint="eastAsia" w:ascii="宋体" w:hAnsi="宋体" w:cs="宋体"/>
                <w:color w:val="auto"/>
                <w:sz w:val="24"/>
                <w:highlight w:val="none"/>
              </w:rPr>
              <w:t>评标结果公示：评标结果公示于</w:t>
            </w:r>
            <w:r>
              <w:rPr>
                <w:rFonts w:hint="eastAsia" w:ascii="宋体" w:hAnsi="宋体" w:cs="宋体"/>
                <w:b/>
                <w:bCs/>
                <w:color w:val="auto"/>
                <w:sz w:val="24"/>
                <w:highlight w:val="none"/>
                <w:u w:val="single"/>
              </w:rPr>
              <w:t>湖州市绿色采购服务平台(http://www.hzlscgfw.cn/)</w:t>
            </w:r>
            <w:r>
              <w:rPr>
                <w:rFonts w:hint="eastAsia" w:ascii="宋体" w:hAnsi="宋体" w:cs="宋体"/>
                <w:color w:val="auto"/>
                <w:sz w:val="24"/>
                <w:highlight w:val="none"/>
              </w:rPr>
              <w:t>。</w:t>
            </w:r>
          </w:p>
        </w:tc>
      </w:tr>
      <w:tr w14:paraId="677D87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50"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34719617">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15.</w:t>
            </w:r>
          </w:p>
        </w:tc>
        <w:tc>
          <w:tcPr>
            <w:tcW w:w="8985" w:type="dxa"/>
            <w:tcBorders>
              <w:top w:val="single" w:color="auto" w:sz="4" w:space="0"/>
              <w:left w:val="single" w:color="auto" w:sz="4" w:space="0"/>
              <w:bottom w:val="single" w:color="auto" w:sz="4" w:space="0"/>
              <w:right w:val="single" w:color="auto" w:sz="4" w:space="0"/>
            </w:tcBorders>
            <w:vAlign w:val="center"/>
          </w:tcPr>
          <w:p w14:paraId="60028E6D">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b/>
                <w:bCs/>
                <w:color w:val="auto"/>
                <w:kern w:val="0"/>
                <w:sz w:val="24"/>
                <w:highlight w:val="none"/>
              </w:rPr>
            </w:pPr>
            <w:r>
              <w:rPr>
                <w:rFonts w:hint="eastAsia" w:ascii="宋体" w:hAnsi="宋体" w:cs="宋体"/>
                <w:color w:val="auto"/>
                <w:sz w:val="24"/>
                <w:highlight w:val="none"/>
              </w:rPr>
              <w:t>投标保证金退还：除采购文件规定不予退还保证金的情形外，成交供应商签订合同后，由代理公司在湖州市绿色采购服务平台上发起退还成交单位的投标保证金，其他投标人的保证金在中标通知书签发后的5个工作日内按程序退还。</w:t>
            </w:r>
          </w:p>
        </w:tc>
      </w:tr>
      <w:tr w14:paraId="5D37C4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515A4A6B">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16.</w:t>
            </w:r>
          </w:p>
        </w:tc>
        <w:tc>
          <w:tcPr>
            <w:tcW w:w="8985" w:type="dxa"/>
            <w:tcBorders>
              <w:top w:val="single" w:color="auto" w:sz="4" w:space="0"/>
              <w:left w:val="single" w:color="auto" w:sz="4" w:space="0"/>
              <w:bottom w:val="single" w:color="auto" w:sz="4" w:space="0"/>
              <w:right w:val="single" w:color="auto" w:sz="4" w:space="0"/>
            </w:tcBorders>
            <w:vAlign w:val="center"/>
          </w:tcPr>
          <w:p w14:paraId="29CB40DA">
            <w:pPr>
              <w:keepNext w:val="0"/>
              <w:keepLines w:val="0"/>
              <w:pageBreakBefore w:val="0"/>
              <w:suppressLineNumbers w:val="0"/>
              <w:kinsoku/>
              <w:wordWrap/>
              <w:overflowPunct/>
              <w:topLinePunct w:val="0"/>
              <w:autoSpaceDE w:val="0"/>
              <w:autoSpaceDN w:val="0"/>
              <w:bidi w:val="0"/>
              <w:adjustRightInd/>
              <w:snapToGrid w:val="0"/>
              <w:spacing w:beforeAutospacing="0" w:afterAutospacing="0" w:line="400" w:lineRule="exact"/>
              <w:ind w:left="0" w:leftChars="0" w:right="0"/>
              <w:textAlignment w:val="bottom"/>
              <w:rPr>
                <w:rFonts w:hint="eastAsia" w:ascii="宋体" w:hAnsi="宋体"/>
                <w:color w:val="auto"/>
                <w:sz w:val="24"/>
                <w:highlight w:val="none"/>
              </w:rPr>
            </w:pPr>
            <w:r>
              <w:rPr>
                <w:rFonts w:hint="eastAsia" w:ascii="宋体" w:hAnsi="宋体" w:cs="宋体"/>
                <w:color w:val="auto"/>
                <w:sz w:val="24"/>
                <w:highlight w:val="none"/>
              </w:rPr>
              <w:t>采购资金来源：自筹</w:t>
            </w:r>
          </w:p>
        </w:tc>
      </w:tr>
      <w:tr w14:paraId="77151F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19A2BDE8">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17.</w:t>
            </w:r>
          </w:p>
        </w:tc>
        <w:tc>
          <w:tcPr>
            <w:tcW w:w="8985" w:type="dxa"/>
            <w:tcBorders>
              <w:top w:val="single" w:color="auto" w:sz="4" w:space="0"/>
              <w:left w:val="single" w:color="auto" w:sz="4" w:space="0"/>
              <w:bottom w:val="single" w:color="auto" w:sz="4" w:space="0"/>
              <w:right w:val="single" w:color="auto" w:sz="4" w:space="0"/>
            </w:tcBorders>
            <w:vAlign w:val="center"/>
          </w:tcPr>
          <w:p w14:paraId="7F9FFFF6">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olor w:val="auto"/>
                <w:sz w:val="24"/>
                <w:highlight w:val="none"/>
              </w:rPr>
            </w:pPr>
            <w:r>
              <w:rPr>
                <w:rFonts w:hint="eastAsia" w:ascii="宋体" w:hAnsi="宋体" w:cs="宋体"/>
                <w:color w:val="auto"/>
                <w:sz w:val="24"/>
                <w:highlight w:val="none"/>
              </w:rPr>
              <w:t>投标文件有效期：</w:t>
            </w:r>
            <w:r>
              <w:rPr>
                <w:rFonts w:hint="eastAsia" w:ascii="宋体" w:hAnsi="宋体" w:cs="宋体"/>
                <w:color w:val="auto"/>
                <w:sz w:val="24"/>
                <w:highlight w:val="none"/>
                <w:u w:val="single"/>
              </w:rPr>
              <w:t>120</w:t>
            </w:r>
            <w:r>
              <w:rPr>
                <w:rFonts w:hint="eastAsia" w:ascii="宋体" w:hAnsi="宋体" w:cs="宋体"/>
                <w:color w:val="auto"/>
                <w:sz w:val="24"/>
                <w:highlight w:val="none"/>
              </w:rPr>
              <w:t>日历天</w:t>
            </w:r>
          </w:p>
        </w:tc>
      </w:tr>
      <w:tr w14:paraId="11BC64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23"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011CB6F2">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18.</w:t>
            </w:r>
          </w:p>
        </w:tc>
        <w:tc>
          <w:tcPr>
            <w:tcW w:w="8985" w:type="dxa"/>
            <w:tcBorders>
              <w:top w:val="single" w:color="auto" w:sz="4" w:space="0"/>
              <w:left w:val="single" w:color="auto" w:sz="4" w:space="0"/>
              <w:bottom w:val="single" w:color="auto" w:sz="4" w:space="0"/>
              <w:right w:val="single" w:color="auto" w:sz="4" w:space="0"/>
            </w:tcBorders>
            <w:vAlign w:val="center"/>
          </w:tcPr>
          <w:p w14:paraId="20DD9B45">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b/>
                <w:color w:val="auto"/>
                <w:sz w:val="24"/>
                <w:highlight w:val="none"/>
              </w:rPr>
            </w:pPr>
            <w:r>
              <w:rPr>
                <w:rFonts w:hint="eastAsia" w:ascii="宋体" w:hAnsi="宋体"/>
                <w:b/>
                <w:color w:val="auto"/>
                <w:sz w:val="24"/>
                <w:highlight w:val="none"/>
              </w:rPr>
              <w:t>注意事项：1、投标单位如发现采购文件及其评标办法中歧视性不公正条款或违法违规等内容时，请于答疑截止日期前同时向采购单位、采购代理公司反映，逾期不得再对采购文件的条款提出质疑。</w:t>
            </w:r>
          </w:p>
          <w:p w14:paraId="467277ED">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s="宋体"/>
                <w:color w:val="auto"/>
                <w:sz w:val="24"/>
                <w:highlight w:val="none"/>
              </w:rPr>
            </w:pPr>
            <w:r>
              <w:rPr>
                <w:rFonts w:hint="eastAsia" w:ascii="宋体" w:hAnsi="宋体"/>
                <w:b/>
                <w:color w:val="auto"/>
                <w:sz w:val="24"/>
                <w:highlight w:val="none"/>
              </w:rPr>
              <w:t>2、该项目中标公示期间，投标单位不得通过非正当途径、更不得通过非正当手段获取法律法规规定评审委员会（包括其他相关人员）应当保密的相关内容。即便由此获得资料（提供来源并经查实的例外）并作为向采购单位或采购代理公司或监督管理部门提出异（质）疑或投诉或法院起诉的理由，均属于非法索取的依据。</w:t>
            </w:r>
          </w:p>
        </w:tc>
      </w:tr>
      <w:tr w14:paraId="1BAC55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3"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00A0A806">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19.</w:t>
            </w:r>
          </w:p>
        </w:tc>
        <w:tc>
          <w:tcPr>
            <w:tcW w:w="8985" w:type="dxa"/>
            <w:tcBorders>
              <w:top w:val="single" w:color="auto" w:sz="4" w:space="0"/>
              <w:left w:val="single" w:color="auto" w:sz="4" w:space="0"/>
              <w:bottom w:val="single" w:color="auto" w:sz="4" w:space="0"/>
              <w:right w:val="single" w:color="auto" w:sz="4" w:space="0"/>
            </w:tcBorders>
            <w:vAlign w:val="center"/>
          </w:tcPr>
          <w:p w14:paraId="5D5329BE">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s="宋体"/>
                <w:b/>
                <w:color w:val="auto"/>
                <w:sz w:val="24"/>
                <w:highlight w:val="none"/>
              </w:rPr>
            </w:pPr>
            <w:r>
              <w:rPr>
                <w:rFonts w:hint="eastAsia" w:ascii="宋体" w:hAnsi="宋体" w:cs="宋体"/>
                <w:b/>
                <w:color w:val="auto"/>
                <w:sz w:val="24"/>
                <w:highlight w:val="none"/>
              </w:rPr>
              <w:t>特别说明：</w:t>
            </w:r>
          </w:p>
          <w:p w14:paraId="686A4308">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s="宋体"/>
                <w:color w:val="auto"/>
                <w:sz w:val="24"/>
                <w:highlight w:val="none"/>
              </w:rPr>
            </w:pPr>
            <w:r>
              <w:rPr>
                <w:rFonts w:hint="eastAsia" w:ascii="宋体" w:hAnsi="宋体" w:cs="宋体"/>
                <w:color w:val="auto"/>
                <w:sz w:val="24"/>
                <w:highlight w:val="none"/>
              </w:rPr>
              <w:t>1、投标人应及时领取相关资料，对未及时查看或领取资料而造成无效标等一切后果由投标人自行负责。当采购文件、采购文件的澄清、修改、答疑、补充等在同一内容的表述上不一致时，以最后发出的文件为准。</w:t>
            </w:r>
          </w:p>
          <w:p w14:paraId="5F8067AD">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s="宋体"/>
                <w:color w:val="auto"/>
                <w:sz w:val="24"/>
                <w:highlight w:val="none"/>
              </w:rPr>
            </w:pPr>
            <w:r>
              <w:rPr>
                <w:rFonts w:hint="eastAsia" w:ascii="宋体" w:hAnsi="宋体" w:cs="宋体"/>
                <w:color w:val="auto"/>
                <w:sz w:val="24"/>
                <w:highlight w:val="none"/>
              </w:rPr>
              <w:t>2、采购文件所未能涵盖的内容或出现异常情况文件中无相应条款处置和解释，而投标人在答疑中又未提出相应的问题的，以采购人补遗为准。</w:t>
            </w:r>
          </w:p>
        </w:tc>
      </w:tr>
      <w:tr w14:paraId="06C0E1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5"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17811697">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20.</w:t>
            </w:r>
          </w:p>
        </w:tc>
        <w:tc>
          <w:tcPr>
            <w:tcW w:w="8985" w:type="dxa"/>
            <w:tcBorders>
              <w:top w:val="single" w:color="auto" w:sz="4" w:space="0"/>
              <w:left w:val="single" w:color="auto" w:sz="4" w:space="0"/>
              <w:bottom w:val="single" w:color="auto" w:sz="4" w:space="0"/>
              <w:right w:val="single" w:color="auto" w:sz="4" w:space="0"/>
            </w:tcBorders>
            <w:vAlign w:val="center"/>
          </w:tcPr>
          <w:p w14:paraId="0177C923">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bCs/>
                <w:color w:val="auto"/>
                <w:sz w:val="24"/>
                <w:highlight w:val="none"/>
              </w:rPr>
            </w:pPr>
            <w:r>
              <w:rPr>
                <w:rFonts w:hint="eastAsia" w:ascii="宋体" w:hAnsi="宋体" w:cs="宋体"/>
                <w:b/>
                <w:bCs/>
                <w:color w:val="auto"/>
                <w:sz w:val="24"/>
                <w:highlight w:val="none"/>
              </w:rPr>
              <w:t>各投标人需要保障参与不见面开标的电脑硬件要求符合以下内容：</w:t>
            </w:r>
          </w:p>
          <w:p w14:paraId="2D86E1E4">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bCs/>
                <w:color w:val="auto"/>
                <w:sz w:val="24"/>
                <w:highlight w:val="none"/>
              </w:rPr>
            </w:pPr>
            <w:r>
              <w:rPr>
                <w:rFonts w:hint="eastAsia" w:ascii="宋体" w:hAnsi="宋体" w:cs="宋体"/>
                <w:b/>
                <w:bCs/>
                <w:color w:val="auto"/>
                <w:sz w:val="24"/>
                <w:highlight w:val="none"/>
              </w:rPr>
              <w:t>1.具备摄像头与耳麦（用于接收代理公司开标指令）。</w:t>
            </w:r>
          </w:p>
          <w:p w14:paraId="6F17D43B">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bCs/>
                <w:color w:val="auto"/>
                <w:sz w:val="24"/>
                <w:highlight w:val="none"/>
              </w:rPr>
            </w:pPr>
            <w:r>
              <w:rPr>
                <w:rFonts w:hint="eastAsia" w:ascii="宋体" w:hAnsi="宋体" w:cs="宋体"/>
                <w:b/>
                <w:bCs/>
                <w:color w:val="auto"/>
                <w:sz w:val="24"/>
                <w:highlight w:val="none"/>
              </w:rPr>
              <w:t>2.要求使用ie浏览器11及以上版本。</w:t>
            </w:r>
          </w:p>
          <w:p w14:paraId="0600C03D">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bCs/>
                <w:color w:val="auto"/>
                <w:sz w:val="24"/>
                <w:highlight w:val="none"/>
              </w:rPr>
            </w:pPr>
            <w:r>
              <w:rPr>
                <w:rFonts w:hint="eastAsia" w:ascii="宋体" w:hAnsi="宋体" w:cs="宋体"/>
                <w:b/>
                <w:bCs/>
                <w:color w:val="auto"/>
                <w:sz w:val="24"/>
                <w:highlight w:val="none"/>
              </w:rPr>
              <w:t>3.电脑操作系统要求在win7及以上。</w:t>
            </w:r>
          </w:p>
          <w:p w14:paraId="6544D327">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bCs/>
                <w:color w:val="auto"/>
                <w:sz w:val="24"/>
                <w:highlight w:val="none"/>
              </w:rPr>
            </w:pPr>
            <w:r>
              <w:rPr>
                <w:rFonts w:hint="eastAsia" w:ascii="宋体" w:hAnsi="宋体" w:cs="宋体"/>
                <w:b/>
                <w:bCs/>
                <w:color w:val="auto"/>
                <w:sz w:val="24"/>
                <w:highlight w:val="none"/>
              </w:rPr>
              <w:t>4.内存要求在4G以上。</w:t>
            </w:r>
          </w:p>
          <w:p w14:paraId="7A7C1156">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bCs/>
                <w:color w:val="auto"/>
                <w:sz w:val="24"/>
                <w:highlight w:val="none"/>
              </w:rPr>
            </w:pPr>
            <w:r>
              <w:rPr>
                <w:rFonts w:hint="eastAsia" w:ascii="宋体" w:hAnsi="宋体" w:cs="宋体"/>
                <w:b/>
                <w:bCs/>
                <w:color w:val="auto"/>
                <w:sz w:val="24"/>
                <w:highlight w:val="none"/>
              </w:rPr>
              <w:t>5.要求正确安装电子招投标驱动程序。</w:t>
            </w:r>
          </w:p>
          <w:p w14:paraId="27ADB8BD">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s="宋体"/>
                <w:color w:val="auto"/>
                <w:sz w:val="24"/>
                <w:highlight w:val="none"/>
              </w:rPr>
            </w:pPr>
            <w:r>
              <w:rPr>
                <w:rFonts w:hint="eastAsia" w:ascii="宋体" w:hAnsi="宋体" w:cs="宋体"/>
                <w:b/>
                <w:bCs/>
                <w:color w:val="auto"/>
                <w:sz w:val="24"/>
                <w:highlight w:val="none"/>
              </w:rPr>
              <w:t>开标过程中不得随意离开摄像头范围，因投标单位自身原因造成未成功解密的，均按未提交投标文件处理。</w:t>
            </w:r>
          </w:p>
        </w:tc>
      </w:tr>
      <w:tr w14:paraId="101828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9"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084385B7">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left="0" w:leftChars="0" w:right="0" w:rightChars="0"/>
              <w:jc w:val="both"/>
              <w:textAlignment w:val="auto"/>
              <w:rPr>
                <w:rFonts w:hint="default" w:ascii="宋体" w:hAnsi="宋体" w:eastAsia="宋体"/>
                <w:b/>
                <w:bCs/>
                <w:color w:val="auto"/>
                <w:sz w:val="24"/>
                <w:highlight w:val="none"/>
                <w:lang w:val="en-US" w:eastAsia="zh-CN"/>
              </w:rPr>
            </w:pPr>
            <w:r>
              <w:rPr>
                <w:rFonts w:hint="eastAsia" w:ascii="宋体" w:hAnsi="宋体"/>
                <w:b/>
                <w:bCs/>
                <w:color w:val="auto"/>
                <w:sz w:val="24"/>
                <w:highlight w:val="none"/>
                <w:lang w:val="en-US" w:eastAsia="zh-CN"/>
              </w:rPr>
              <w:t>21.</w:t>
            </w:r>
          </w:p>
        </w:tc>
        <w:tc>
          <w:tcPr>
            <w:tcW w:w="8985" w:type="dxa"/>
            <w:tcBorders>
              <w:top w:val="single" w:color="auto" w:sz="4" w:space="0"/>
              <w:left w:val="single" w:color="auto" w:sz="4" w:space="0"/>
              <w:bottom w:val="single" w:color="auto" w:sz="4" w:space="0"/>
              <w:right w:val="single" w:color="auto" w:sz="4" w:space="0"/>
            </w:tcBorders>
            <w:vAlign w:val="center"/>
          </w:tcPr>
          <w:p w14:paraId="092EB710">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b/>
                <w:color w:val="auto"/>
                <w:sz w:val="24"/>
                <w:highlight w:val="none"/>
              </w:rPr>
            </w:pPr>
            <w:r>
              <w:rPr>
                <w:rFonts w:hint="eastAsia" w:ascii="宋体" w:hAnsi="宋体" w:cs="宋体"/>
                <w:color w:val="auto"/>
                <w:sz w:val="24"/>
                <w:highlight w:val="none"/>
              </w:rPr>
              <w:t>解释：本采购文件的解释权属于采购人和采购代理机构。</w:t>
            </w:r>
          </w:p>
        </w:tc>
      </w:tr>
    </w:tbl>
    <w:p w14:paraId="439DAB15">
      <w:pPr>
        <w:keepNext w:val="0"/>
        <w:keepLines w:val="0"/>
        <w:pageBreakBefore w:val="0"/>
        <w:kinsoku/>
        <w:wordWrap/>
        <w:overflowPunct/>
        <w:topLinePunct w:val="0"/>
        <w:bidi w:val="0"/>
        <w:adjustRightInd/>
        <w:snapToGrid w:val="0"/>
        <w:spacing w:line="400" w:lineRule="exact"/>
        <w:ind w:left="0" w:leftChars="0"/>
        <w:rPr>
          <w:rFonts w:hint="eastAsia" w:ascii="宋体" w:hAnsi="宋体"/>
          <w:b/>
          <w:color w:val="auto"/>
          <w:sz w:val="28"/>
          <w:szCs w:val="28"/>
          <w:highlight w:val="none"/>
        </w:rPr>
      </w:pPr>
      <w:r>
        <w:rPr>
          <w:rFonts w:hint="eastAsia" w:ascii="宋体" w:hAnsi="宋体"/>
          <w:b/>
          <w:color w:val="auto"/>
          <w:sz w:val="28"/>
          <w:szCs w:val="28"/>
          <w:highlight w:val="none"/>
        </w:rPr>
        <w:t>一、总则</w:t>
      </w:r>
    </w:p>
    <w:p w14:paraId="4977A66F">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（一）</w:t>
      </w:r>
      <w:r>
        <w:rPr>
          <w:rFonts w:ascii="宋体" w:hAnsi="宋体"/>
          <w:b/>
          <w:color w:val="auto"/>
          <w:sz w:val="24"/>
          <w:szCs w:val="20"/>
          <w:highlight w:val="none"/>
        </w:rPr>
        <w:t>适用范围</w:t>
      </w:r>
    </w:p>
    <w:p w14:paraId="166E39F6">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本采购文件适用于</w:t>
      </w:r>
      <w:r>
        <w:rPr>
          <w:rFonts w:hint="eastAsia" w:ascii="宋体" w:hAnsi="宋体"/>
          <w:color w:val="auto"/>
          <w:sz w:val="24"/>
          <w:highlight w:val="none"/>
          <w:lang w:eastAsia="zh-CN"/>
        </w:rPr>
        <w:t>江南之源文化遗址公园德清窑空气治理项目</w:t>
      </w:r>
      <w:r>
        <w:rPr>
          <w:rFonts w:hint="eastAsia" w:ascii="宋体" w:hAnsi="宋体"/>
          <w:color w:val="auto"/>
          <w:sz w:val="24"/>
          <w:szCs w:val="20"/>
          <w:highlight w:val="none"/>
        </w:rPr>
        <w:t>的招标、投标、评标、定标、验收、合同履约、付款等行为（法律、法规另有规定的，从其规定）。</w:t>
      </w:r>
    </w:p>
    <w:p w14:paraId="79F7DF59">
      <w:pPr>
        <w:keepNext w:val="0"/>
        <w:keepLines w:val="0"/>
        <w:pageBreakBefore w:val="0"/>
        <w:kinsoku/>
        <w:wordWrap/>
        <w:overflowPunct/>
        <w:topLinePunct w:val="0"/>
        <w:bidi w:val="0"/>
        <w:adjustRightInd/>
        <w:snapToGrid w:val="0"/>
        <w:spacing w:line="400" w:lineRule="exact"/>
        <w:ind w:left="0" w:leftChars="0" w:firstLine="354" w:firstLineChars="147"/>
        <w:jc w:val="left"/>
        <w:rPr>
          <w:rFonts w:hint="eastAsia" w:ascii="宋体" w:hAnsi="宋体"/>
          <w:b/>
          <w:color w:val="auto"/>
          <w:sz w:val="24"/>
          <w:szCs w:val="20"/>
          <w:highlight w:val="none"/>
        </w:rPr>
      </w:pPr>
      <w:r>
        <w:rPr>
          <w:rFonts w:hint="eastAsia" w:ascii="宋体" w:hAnsi="宋体"/>
          <w:b/>
          <w:color w:val="auto"/>
          <w:sz w:val="24"/>
          <w:szCs w:val="20"/>
          <w:highlight w:val="none"/>
        </w:rPr>
        <w:t>（二）定义</w:t>
      </w:r>
      <w:r>
        <w:rPr>
          <w:rFonts w:ascii="宋体" w:hAnsi="宋体"/>
          <w:color w:val="auto"/>
          <w:sz w:val="24"/>
          <w:szCs w:val="20"/>
          <w:highlight w:val="none"/>
        </w:rPr>
        <w:t xml:space="preserve"> </w:t>
      </w:r>
    </w:p>
    <w:p w14:paraId="262B473F">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1.“</w:t>
      </w:r>
      <w:r>
        <w:rPr>
          <w:rFonts w:ascii="宋体" w:hAnsi="宋体"/>
          <w:color w:val="auto"/>
          <w:sz w:val="24"/>
          <w:szCs w:val="20"/>
          <w:highlight w:val="none"/>
        </w:rPr>
        <w:t>投标人”系指向招标方提交投标文件的单位或个人。</w:t>
      </w:r>
    </w:p>
    <w:p w14:paraId="77B349CA">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2.</w:t>
      </w:r>
      <w:r>
        <w:rPr>
          <w:rFonts w:ascii="宋体" w:hAnsi="宋体"/>
          <w:color w:val="auto"/>
          <w:sz w:val="24"/>
          <w:szCs w:val="20"/>
          <w:highlight w:val="none"/>
        </w:rPr>
        <w:t>“产品”系指供方按采购文件规定，须向采购人提供的一切设备、保险、税金、备品备件、工具、手册及其它有关技术资料和材料。</w:t>
      </w:r>
    </w:p>
    <w:p w14:paraId="1C5593E3">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3.</w:t>
      </w:r>
      <w:r>
        <w:rPr>
          <w:rFonts w:ascii="宋体" w:hAnsi="宋体"/>
          <w:color w:val="auto"/>
          <w:sz w:val="24"/>
          <w:szCs w:val="20"/>
          <w:highlight w:val="none"/>
        </w:rPr>
        <w:t>“服务”系指采购文件规定投标人须承担的安装、调试、技术协助、校准、培训、技术指导以及其他类似的义务。</w:t>
      </w:r>
    </w:p>
    <w:p w14:paraId="4A504506">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4.</w:t>
      </w:r>
      <w:r>
        <w:rPr>
          <w:rFonts w:ascii="宋体" w:hAnsi="宋体"/>
          <w:color w:val="auto"/>
          <w:sz w:val="24"/>
          <w:szCs w:val="20"/>
          <w:highlight w:val="none"/>
        </w:rPr>
        <w:t>“项目”系指投标人按采购文件规定向采购人提供的产品和服务。</w:t>
      </w:r>
    </w:p>
    <w:p w14:paraId="66E27BB3">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5.</w:t>
      </w:r>
      <w:r>
        <w:rPr>
          <w:rFonts w:ascii="宋体" w:hAnsi="宋体"/>
          <w:color w:val="auto"/>
          <w:sz w:val="24"/>
          <w:szCs w:val="20"/>
          <w:highlight w:val="none"/>
        </w:rPr>
        <w:t>“书面形式”包括信函、传真、电报</w:t>
      </w:r>
      <w:r>
        <w:rPr>
          <w:rFonts w:hint="eastAsia" w:ascii="宋体" w:hAnsi="宋体"/>
          <w:color w:val="auto"/>
          <w:sz w:val="24"/>
          <w:szCs w:val="20"/>
          <w:highlight w:val="none"/>
        </w:rPr>
        <w:t>、电子邮件</w:t>
      </w:r>
      <w:r>
        <w:rPr>
          <w:rFonts w:ascii="宋体" w:hAnsi="宋体"/>
          <w:color w:val="auto"/>
          <w:sz w:val="24"/>
          <w:szCs w:val="20"/>
          <w:highlight w:val="none"/>
        </w:rPr>
        <w:t>等。</w:t>
      </w:r>
    </w:p>
    <w:p w14:paraId="7242C8C7">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6.带“</w:t>
      </w:r>
      <w:r>
        <w:rPr>
          <w:rFonts w:hint="eastAsia" w:ascii="宋体" w:hAnsi="宋体"/>
          <w:color w:val="auto"/>
          <w:kern w:val="0"/>
          <w:szCs w:val="21"/>
          <w:highlight w:val="none"/>
        </w:rPr>
        <w:t>▲</w:t>
      </w:r>
      <w:r>
        <w:rPr>
          <w:rFonts w:hint="eastAsia" w:ascii="宋体" w:hAnsi="宋体"/>
          <w:color w:val="auto"/>
          <w:sz w:val="24"/>
          <w:szCs w:val="20"/>
          <w:highlight w:val="none"/>
        </w:rPr>
        <w:t>”条款为实质性响应条款，必须响应。</w:t>
      </w:r>
    </w:p>
    <w:p w14:paraId="5DB2DA31">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（三）招标方式</w:t>
      </w:r>
    </w:p>
    <w:p w14:paraId="4C6AD474">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ascii="宋体" w:hAnsi="宋体"/>
          <w:color w:val="auto"/>
          <w:sz w:val="24"/>
          <w:szCs w:val="20"/>
          <w:highlight w:val="none"/>
        </w:rPr>
        <w:t>本次招标采用公开招标方式进行。</w:t>
      </w:r>
    </w:p>
    <w:p w14:paraId="789685F7">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（四）投标委托</w:t>
      </w:r>
    </w:p>
    <w:p w14:paraId="7F169815">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pacing w:val="-4"/>
          <w:sz w:val="24"/>
          <w:highlight w:val="none"/>
        </w:rPr>
      </w:pPr>
      <w:r>
        <w:rPr>
          <w:rFonts w:hint="eastAsia" w:ascii="宋体" w:hAnsi="宋体" w:eastAsia="宋体" w:cs="宋体"/>
          <w:color w:val="auto"/>
          <w:sz w:val="24"/>
          <w:szCs w:val="20"/>
          <w:highlight w:val="none"/>
        </w:rPr>
        <w:t>本次招标采用公开招标方式不见面开标方式进行。如投标人代表不是法定代表人，须有法定代表人出具的授权委托书，身份证复印件（格式见附件）</w:t>
      </w:r>
      <w:r>
        <w:rPr>
          <w:rFonts w:hint="eastAsia" w:ascii="宋体" w:hAnsi="宋体"/>
          <w:color w:val="auto"/>
          <w:sz w:val="24"/>
          <w:szCs w:val="20"/>
          <w:highlight w:val="none"/>
        </w:rPr>
        <w:t>。</w:t>
      </w:r>
    </w:p>
    <w:p w14:paraId="24828974">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（五）投标费用</w:t>
      </w:r>
    </w:p>
    <w:p w14:paraId="192A2DB8">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不论投标结果如何，投标人均应自行承担所有与投标有关的全部费用（采购文件有相反规定除外）。</w:t>
      </w:r>
    </w:p>
    <w:p w14:paraId="1BD07F25">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（六）联合体投标</w:t>
      </w:r>
    </w:p>
    <w:p w14:paraId="04758124">
      <w:pPr>
        <w:keepNext w:val="0"/>
        <w:keepLines w:val="0"/>
        <w:pageBreakBefore w:val="0"/>
        <w:kinsoku/>
        <w:wordWrap/>
        <w:overflowPunct/>
        <w:topLinePunct w:val="0"/>
        <w:bidi w:val="0"/>
        <w:adjustRightInd/>
        <w:snapToGrid w:val="0"/>
        <w:spacing w:line="400" w:lineRule="exact"/>
        <w:ind w:left="0" w:leftChars="0" w:firstLine="720" w:firstLineChars="300"/>
        <w:jc w:val="left"/>
        <w:rPr>
          <w:rFonts w:hint="eastAsia" w:ascii="宋体" w:hAnsi="宋体" w:cs="Arial"/>
          <w:color w:val="auto"/>
          <w:sz w:val="24"/>
          <w:szCs w:val="20"/>
          <w:highlight w:val="none"/>
        </w:rPr>
      </w:pPr>
      <w:r>
        <w:rPr>
          <w:rFonts w:hint="eastAsia" w:ascii="宋体" w:hAnsi="宋体" w:cs="Arial"/>
          <w:color w:val="auto"/>
          <w:sz w:val="24"/>
          <w:szCs w:val="20"/>
          <w:highlight w:val="none"/>
        </w:rPr>
        <w:t>本项目不接受联合体投标。</w:t>
      </w:r>
    </w:p>
    <w:p w14:paraId="5FA4093A">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cs="宋体"/>
          <w:b/>
          <w:color w:val="auto"/>
          <w:kern w:val="0"/>
          <w:sz w:val="24"/>
          <w:szCs w:val="20"/>
          <w:highlight w:val="none"/>
        </w:rPr>
      </w:pPr>
      <w:r>
        <w:rPr>
          <w:rFonts w:hint="eastAsia" w:ascii="宋体" w:hAnsi="宋体"/>
          <w:b/>
          <w:color w:val="auto"/>
          <w:sz w:val="24"/>
          <w:szCs w:val="20"/>
          <w:highlight w:val="none"/>
        </w:rPr>
        <w:t>（七）</w:t>
      </w:r>
      <w:r>
        <w:rPr>
          <w:rFonts w:hint="eastAsia" w:ascii="宋体" w:hAnsi="宋体" w:cs="宋体"/>
          <w:b/>
          <w:color w:val="auto"/>
          <w:kern w:val="0"/>
          <w:sz w:val="24"/>
          <w:szCs w:val="20"/>
          <w:highlight w:val="none"/>
        </w:rPr>
        <w:t>转包与分包</w:t>
      </w:r>
    </w:p>
    <w:p w14:paraId="25ED86A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s="宋体"/>
          <w:color w:val="auto"/>
          <w:kern w:val="0"/>
          <w:sz w:val="24"/>
          <w:szCs w:val="20"/>
          <w:highlight w:val="none"/>
        </w:rPr>
      </w:pPr>
      <w:r>
        <w:rPr>
          <w:rFonts w:ascii="宋体" w:hAnsi="宋体" w:cs="宋体"/>
          <w:color w:val="auto"/>
          <w:kern w:val="0"/>
          <w:sz w:val="24"/>
          <w:szCs w:val="20"/>
          <w:highlight w:val="none"/>
        </w:rPr>
        <w:t>1</w:t>
      </w:r>
      <w:r>
        <w:rPr>
          <w:rFonts w:hint="eastAsia" w:ascii="宋体" w:hAnsi="宋体" w:cs="宋体"/>
          <w:color w:val="auto"/>
          <w:kern w:val="0"/>
          <w:sz w:val="24"/>
          <w:szCs w:val="20"/>
          <w:highlight w:val="none"/>
        </w:rPr>
        <w:t>.</w:t>
      </w:r>
      <w:r>
        <w:rPr>
          <w:rFonts w:ascii="宋体" w:hAnsi="宋体" w:cs="宋体"/>
          <w:color w:val="auto"/>
          <w:kern w:val="0"/>
          <w:sz w:val="24"/>
          <w:szCs w:val="20"/>
          <w:highlight w:val="none"/>
        </w:rPr>
        <w:t>本项目不允许转包。</w:t>
      </w:r>
    </w:p>
    <w:p w14:paraId="72BD6B8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ascii="宋体" w:hAnsi="宋体" w:cs="宋体"/>
          <w:color w:val="auto"/>
          <w:kern w:val="0"/>
          <w:sz w:val="24"/>
          <w:szCs w:val="20"/>
          <w:highlight w:val="none"/>
        </w:rPr>
        <w:t>2</w:t>
      </w:r>
      <w:r>
        <w:rPr>
          <w:rFonts w:hint="eastAsia" w:ascii="宋体" w:hAnsi="宋体" w:cs="宋体"/>
          <w:color w:val="auto"/>
          <w:kern w:val="0"/>
          <w:sz w:val="24"/>
          <w:szCs w:val="20"/>
          <w:highlight w:val="none"/>
        </w:rPr>
        <w:t>.</w:t>
      </w:r>
      <w:r>
        <w:rPr>
          <w:rFonts w:ascii="宋体" w:hAnsi="宋体" w:cs="宋体"/>
          <w:color w:val="auto"/>
          <w:kern w:val="0"/>
          <w:sz w:val="24"/>
          <w:szCs w:val="20"/>
          <w:highlight w:val="none"/>
        </w:rPr>
        <w:t>本项目不可以分包</w:t>
      </w:r>
      <w:r>
        <w:rPr>
          <w:rFonts w:hint="eastAsia" w:ascii="宋体" w:hAnsi="宋体" w:cs="宋体"/>
          <w:color w:val="auto"/>
          <w:kern w:val="0"/>
          <w:sz w:val="24"/>
          <w:szCs w:val="20"/>
          <w:highlight w:val="none"/>
        </w:rPr>
        <w:t>。</w:t>
      </w:r>
    </w:p>
    <w:p w14:paraId="5A2199F9">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（八）特别说明：</w:t>
      </w:r>
    </w:p>
    <w:p w14:paraId="62ED6F5C">
      <w:pPr>
        <w:keepNext w:val="0"/>
        <w:keepLines w:val="0"/>
        <w:pageBreakBefore w:val="0"/>
        <w:kinsoku/>
        <w:wordWrap/>
        <w:overflowPunct/>
        <w:topLinePunct w:val="0"/>
        <w:bidi w:val="0"/>
        <w:adjustRightInd/>
        <w:snapToGrid w:val="0"/>
        <w:spacing w:line="400" w:lineRule="exact"/>
        <w:ind w:left="0" w:leftChars="0" w:firstLine="482" w:firstLineChars="200"/>
        <w:rPr>
          <w:rFonts w:hint="eastAsia" w:ascii="宋体" w:hAnsi="宋体"/>
          <w:color w:val="auto"/>
          <w:sz w:val="24"/>
          <w:highlight w:val="none"/>
        </w:rPr>
      </w:pPr>
      <w:r>
        <w:rPr>
          <w:rFonts w:hint="eastAsia" w:ascii="宋体" w:hAnsi="宋体"/>
          <w:b/>
          <w:color w:val="auto"/>
          <w:sz w:val="24"/>
          <w:szCs w:val="20"/>
          <w:highlight w:val="none"/>
        </w:rPr>
        <w:t>1.</w:t>
      </w:r>
      <w:r>
        <w:rPr>
          <w:rFonts w:ascii="宋体" w:hAnsi="宋体"/>
          <w:color w:val="auto"/>
          <w:sz w:val="24"/>
          <w:highlight w:val="none"/>
        </w:rPr>
        <w:t>投标人投标所使用的资格、信誉、荣誉、业绩与企业认证必须为本</w:t>
      </w:r>
      <w:r>
        <w:rPr>
          <w:rFonts w:hint="eastAsia" w:ascii="宋体" w:hAnsi="宋体"/>
          <w:color w:val="auto"/>
          <w:sz w:val="24"/>
          <w:highlight w:val="none"/>
        </w:rPr>
        <w:t>企业</w:t>
      </w:r>
      <w:r>
        <w:rPr>
          <w:rFonts w:ascii="宋体" w:hAnsi="宋体"/>
          <w:color w:val="auto"/>
          <w:sz w:val="24"/>
          <w:highlight w:val="none"/>
        </w:rPr>
        <w:t>所拥有。</w:t>
      </w:r>
      <w:r>
        <w:rPr>
          <w:rFonts w:hint="eastAsia" w:ascii="宋体" w:hAnsi="宋体"/>
          <w:color w:val="auto"/>
          <w:sz w:val="24"/>
          <w:highlight w:val="none"/>
        </w:rPr>
        <w:t>在组织商务、技术评审或资格性审查时，不得将属于供应商母公司或者同一母公司下属的其他子公司（以分支机构参与投标的不得将属于供应商总机构或同一总机构下属的其他分支机构）的人员、业绩、荣誉、知识产权、项目案例等，作为该供应商的资信文件予以确认或审查通过。</w:t>
      </w:r>
    </w:p>
    <w:p w14:paraId="1652681D">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投标人应仔细阅读采购文件的所有内容，按照采购文件的要求提交投标文件，并对所提供的全部资料的真实性承担法律责任。</w:t>
      </w:r>
    </w:p>
    <w:p w14:paraId="427563E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rPr>
        <w:t>3.</w:t>
      </w:r>
      <w:r>
        <w:rPr>
          <w:rFonts w:ascii="宋体" w:hAnsi="宋体"/>
          <w:color w:val="auto"/>
          <w:sz w:val="24"/>
          <w:highlight w:val="none"/>
        </w:rPr>
        <w:t>投标人在投标活动中提供任何虚假材料,其投标无效，并报监管部门查处</w:t>
      </w:r>
      <w:r>
        <w:rPr>
          <w:rFonts w:hint="eastAsia" w:ascii="宋体" w:hAnsi="宋体"/>
          <w:color w:val="auto"/>
          <w:sz w:val="24"/>
          <w:highlight w:val="none"/>
        </w:rPr>
        <w:t>。</w:t>
      </w:r>
      <w:r>
        <w:rPr>
          <w:rFonts w:ascii="宋体" w:hAnsi="宋体"/>
          <w:color w:val="auto"/>
          <w:sz w:val="24"/>
          <w:highlight w:val="none"/>
        </w:rPr>
        <w:t>中标后发现的,</w:t>
      </w:r>
      <w:r>
        <w:rPr>
          <w:rFonts w:hint="eastAsia" w:ascii="宋体" w:hAnsi="宋体"/>
          <w:color w:val="auto"/>
          <w:sz w:val="24"/>
          <w:highlight w:val="none"/>
        </w:rPr>
        <w:t>造成其他损失的须赔偿相应损失，</w:t>
      </w:r>
      <w:r>
        <w:rPr>
          <w:rFonts w:ascii="宋体" w:hAnsi="宋体"/>
          <w:color w:val="auto"/>
          <w:sz w:val="24"/>
          <w:highlight w:val="none"/>
        </w:rPr>
        <w:t>且民事赔偿并不免除违法投标人的行政与刑事责任</w:t>
      </w:r>
      <w:r>
        <w:rPr>
          <w:rFonts w:hint="eastAsia" w:ascii="宋体" w:hAnsi="宋体"/>
          <w:color w:val="auto"/>
          <w:sz w:val="24"/>
          <w:highlight w:val="none"/>
          <w:lang w:eastAsia="zh-CN"/>
        </w:rPr>
        <w:t>。</w:t>
      </w:r>
    </w:p>
    <w:p w14:paraId="6CBF9D06">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多家供应商参加采购响应，如其中两家或两家以上供应商的法定代表人为同一人或相互之间存在投资关系且达到控股的，按一个供应商认定。评审时，取其中通过资格审查后的报价最低一家为有效供应商；当报价相同时，则以技术标最优一家为有效供应商；均相同时，由评审委员会（或谈判、询价小组，以下统称评审小组）集体决定</w:t>
      </w:r>
      <w:r>
        <w:rPr>
          <w:rFonts w:ascii="宋体" w:hAnsi="宋体"/>
          <w:color w:val="auto"/>
          <w:sz w:val="24"/>
          <w:highlight w:val="none"/>
        </w:rPr>
        <w:t>。</w:t>
      </w:r>
    </w:p>
    <w:p w14:paraId="3E42E32A">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bCs/>
          <w:color w:val="auto"/>
          <w:sz w:val="24"/>
          <w:highlight w:val="none"/>
        </w:rPr>
      </w:pPr>
      <w:r>
        <w:rPr>
          <w:rFonts w:ascii="宋体" w:hAnsi="宋体"/>
          <w:b/>
          <w:bCs/>
          <w:color w:val="auto"/>
          <w:sz w:val="24"/>
          <w:highlight w:val="none"/>
        </w:rPr>
        <w:t>（九）质疑和投诉</w:t>
      </w:r>
    </w:p>
    <w:p w14:paraId="1EF1AE4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bCs/>
          <w:color w:val="auto"/>
          <w:sz w:val="24"/>
          <w:highlight w:val="none"/>
        </w:rPr>
      </w:pPr>
      <w:r>
        <w:rPr>
          <w:rFonts w:ascii="宋体" w:hAnsi="宋体"/>
          <w:bCs/>
          <w:color w:val="auto"/>
          <w:sz w:val="24"/>
          <w:highlight w:val="none"/>
        </w:rPr>
        <w:t>1</w:t>
      </w:r>
      <w:r>
        <w:rPr>
          <w:rFonts w:hint="eastAsia" w:ascii="宋体" w:hAnsi="宋体"/>
          <w:bCs/>
          <w:color w:val="auto"/>
          <w:sz w:val="24"/>
          <w:highlight w:val="none"/>
        </w:rPr>
        <w:t>.</w:t>
      </w:r>
      <w:r>
        <w:rPr>
          <w:rFonts w:ascii="宋体" w:hAnsi="宋体"/>
          <w:bCs/>
          <w:color w:val="auto"/>
          <w:sz w:val="24"/>
          <w:highlight w:val="none"/>
        </w:rPr>
        <w:t>质疑、投诉应当采用书面形式，质疑书、投诉书均应明确阐述采购文件、招标过程</w:t>
      </w:r>
      <w:r>
        <w:rPr>
          <w:rFonts w:hint="eastAsia" w:ascii="宋体" w:hAnsi="宋体"/>
          <w:bCs/>
          <w:color w:val="auto"/>
          <w:sz w:val="24"/>
          <w:highlight w:val="none"/>
        </w:rPr>
        <w:t>或</w:t>
      </w:r>
      <w:r>
        <w:rPr>
          <w:rFonts w:ascii="宋体" w:hAnsi="宋体"/>
          <w:bCs/>
          <w:color w:val="auto"/>
          <w:sz w:val="24"/>
          <w:highlight w:val="none"/>
        </w:rPr>
        <w:t>中标结果中使自己合法权益受到损害的实质性内容，提供相关事实、依据和证据及其来源或线索，便于有关单位调查、答复和处理</w:t>
      </w:r>
      <w:r>
        <w:rPr>
          <w:rFonts w:hint="eastAsia" w:ascii="宋体" w:hAnsi="宋体"/>
          <w:bCs/>
          <w:color w:val="auto"/>
          <w:sz w:val="24"/>
          <w:highlight w:val="none"/>
        </w:rPr>
        <w:t>。</w:t>
      </w:r>
    </w:p>
    <w:p w14:paraId="2CA7F63B">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bCs/>
          <w:color w:val="auto"/>
          <w:sz w:val="24"/>
          <w:highlight w:val="none"/>
        </w:rPr>
      </w:pPr>
      <w:r>
        <w:rPr>
          <w:rFonts w:ascii="宋体" w:hAnsi="宋体"/>
          <w:bCs/>
          <w:color w:val="auto"/>
          <w:sz w:val="24"/>
          <w:highlight w:val="none"/>
        </w:rPr>
        <w:t>2</w:t>
      </w:r>
      <w:r>
        <w:rPr>
          <w:rFonts w:hint="eastAsia" w:ascii="宋体" w:hAnsi="宋体"/>
          <w:bCs/>
          <w:color w:val="auto"/>
          <w:sz w:val="24"/>
          <w:highlight w:val="none"/>
        </w:rPr>
        <w:t>.供应商未按规定要求提出的，则视同认可采购文件，但法律法规及规范性文件有明确规定的除外。</w:t>
      </w:r>
    </w:p>
    <w:p w14:paraId="4C0E3B72">
      <w:pPr>
        <w:keepNext w:val="0"/>
        <w:keepLines w:val="0"/>
        <w:pageBreakBefore w:val="0"/>
        <w:kinsoku/>
        <w:wordWrap/>
        <w:overflowPunct/>
        <w:topLinePunct w:val="0"/>
        <w:bidi w:val="0"/>
        <w:adjustRightInd/>
        <w:snapToGrid w:val="0"/>
        <w:spacing w:line="400" w:lineRule="exact"/>
        <w:ind w:left="0" w:leftChars="0"/>
        <w:rPr>
          <w:rFonts w:hint="eastAsia" w:ascii="宋体" w:hAnsi="宋体"/>
          <w:b/>
          <w:color w:val="auto"/>
          <w:sz w:val="28"/>
          <w:szCs w:val="28"/>
          <w:highlight w:val="none"/>
        </w:rPr>
      </w:pPr>
      <w:r>
        <w:rPr>
          <w:rFonts w:ascii="宋体" w:hAnsi="宋体"/>
          <w:b/>
          <w:color w:val="auto"/>
          <w:sz w:val="28"/>
          <w:szCs w:val="28"/>
          <w:highlight w:val="none"/>
        </w:rPr>
        <w:t>二</w:t>
      </w:r>
      <w:r>
        <w:rPr>
          <w:rFonts w:hint="eastAsia" w:ascii="宋体" w:hAnsi="宋体"/>
          <w:b/>
          <w:color w:val="auto"/>
          <w:sz w:val="28"/>
          <w:szCs w:val="28"/>
          <w:highlight w:val="none"/>
        </w:rPr>
        <w:t>、</w:t>
      </w:r>
      <w:r>
        <w:rPr>
          <w:rFonts w:ascii="宋体" w:hAnsi="宋体"/>
          <w:b/>
          <w:color w:val="auto"/>
          <w:sz w:val="28"/>
          <w:szCs w:val="28"/>
          <w:highlight w:val="none"/>
        </w:rPr>
        <w:t>采购文件</w:t>
      </w:r>
    </w:p>
    <w:p w14:paraId="21A1BC5B">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（一）采购文件的构成。本采购文件由以下部份组成：</w:t>
      </w:r>
    </w:p>
    <w:p w14:paraId="7C9BCAC1">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ascii="宋体" w:hAnsi="宋体"/>
          <w:color w:val="auto"/>
          <w:sz w:val="24"/>
          <w:szCs w:val="20"/>
          <w:highlight w:val="none"/>
        </w:rPr>
        <w:t>1</w:t>
      </w:r>
      <w:r>
        <w:rPr>
          <w:rFonts w:hint="eastAsia" w:ascii="宋体" w:hAnsi="宋体"/>
          <w:color w:val="auto"/>
          <w:sz w:val="24"/>
          <w:szCs w:val="20"/>
          <w:highlight w:val="none"/>
        </w:rPr>
        <w:t>.</w:t>
      </w:r>
      <w:r>
        <w:rPr>
          <w:rFonts w:ascii="宋体" w:hAnsi="宋体"/>
          <w:color w:val="auto"/>
          <w:sz w:val="24"/>
          <w:szCs w:val="20"/>
          <w:highlight w:val="none"/>
        </w:rPr>
        <w:t>招标公告</w:t>
      </w:r>
    </w:p>
    <w:p w14:paraId="22D8A2C7">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ascii="宋体" w:hAnsi="宋体"/>
          <w:color w:val="auto"/>
          <w:sz w:val="24"/>
          <w:szCs w:val="20"/>
          <w:highlight w:val="none"/>
        </w:rPr>
        <w:t>2</w:t>
      </w:r>
      <w:r>
        <w:rPr>
          <w:rFonts w:hint="eastAsia" w:ascii="宋体" w:hAnsi="宋体"/>
          <w:color w:val="auto"/>
          <w:sz w:val="24"/>
          <w:szCs w:val="20"/>
          <w:highlight w:val="none"/>
        </w:rPr>
        <w:t>.</w:t>
      </w:r>
      <w:r>
        <w:rPr>
          <w:rFonts w:ascii="宋体" w:hAnsi="宋体"/>
          <w:color w:val="auto"/>
          <w:sz w:val="24"/>
          <w:szCs w:val="20"/>
          <w:highlight w:val="none"/>
        </w:rPr>
        <w:t>招标需求</w:t>
      </w:r>
    </w:p>
    <w:p w14:paraId="465FCD1C">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ascii="宋体" w:hAnsi="宋体"/>
          <w:color w:val="auto"/>
          <w:sz w:val="24"/>
          <w:szCs w:val="20"/>
          <w:highlight w:val="none"/>
        </w:rPr>
        <w:t>3</w:t>
      </w:r>
      <w:r>
        <w:rPr>
          <w:rFonts w:hint="eastAsia" w:ascii="宋体" w:hAnsi="宋体"/>
          <w:color w:val="auto"/>
          <w:sz w:val="24"/>
          <w:szCs w:val="20"/>
          <w:highlight w:val="none"/>
        </w:rPr>
        <w:t>.</w:t>
      </w:r>
      <w:r>
        <w:rPr>
          <w:rFonts w:ascii="宋体" w:hAnsi="宋体"/>
          <w:color w:val="auto"/>
          <w:sz w:val="24"/>
          <w:szCs w:val="20"/>
          <w:highlight w:val="none"/>
        </w:rPr>
        <w:t>投标人须知</w:t>
      </w:r>
    </w:p>
    <w:p w14:paraId="3E30799E">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ascii="宋体" w:hAnsi="宋体"/>
          <w:color w:val="auto"/>
          <w:sz w:val="24"/>
          <w:szCs w:val="20"/>
          <w:highlight w:val="none"/>
        </w:rPr>
        <w:t>4</w:t>
      </w:r>
      <w:r>
        <w:rPr>
          <w:rFonts w:hint="eastAsia" w:ascii="宋体" w:hAnsi="宋体"/>
          <w:color w:val="auto"/>
          <w:sz w:val="24"/>
          <w:szCs w:val="20"/>
          <w:highlight w:val="none"/>
        </w:rPr>
        <w:t>.</w:t>
      </w:r>
      <w:r>
        <w:rPr>
          <w:rFonts w:ascii="宋体" w:hAnsi="宋体"/>
          <w:color w:val="auto"/>
          <w:sz w:val="24"/>
          <w:szCs w:val="20"/>
          <w:highlight w:val="none"/>
        </w:rPr>
        <w:t>评标办法及标准</w:t>
      </w:r>
    </w:p>
    <w:p w14:paraId="355340C4">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ascii="宋体" w:hAnsi="宋体"/>
          <w:color w:val="auto"/>
          <w:sz w:val="24"/>
          <w:szCs w:val="20"/>
          <w:highlight w:val="none"/>
        </w:rPr>
        <w:t>5</w:t>
      </w:r>
      <w:r>
        <w:rPr>
          <w:rFonts w:hint="eastAsia" w:ascii="宋体" w:hAnsi="宋体"/>
          <w:color w:val="auto"/>
          <w:sz w:val="24"/>
          <w:szCs w:val="20"/>
          <w:highlight w:val="none"/>
        </w:rPr>
        <w:t>.</w:t>
      </w:r>
      <w:r>
        <w:rPr>
          <w:rFonts w:ascii="宋体" w:hAnsi="宋体"/>
          <w:color w:val="auto"/>
          <w:sz w:val="24"/>
          <w:szCs w:val="20"/>
          <w:highlight w:val="none"/>
        </w:rPr>
        <w:t>合同主要条款</w:t>
      </w:r>
    </w:p>
    <w:p w14:paraId="6D193C67">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ascii="宋体" w:hAnsi="宋体"/>
          <w:color w:val="auto"/>
          <w:sz w:val="24"/>
          <w:szCs w:val="20"/>
          <w:highlight w:val="none"/>
        </w:rPr>
        <w:t>6</w:t>
      </w:r>
      <w:r>
        <w:rPr>
          <w:rFonts w:hint="eastAsia" w:ascii="宋体" w:hAnsi="宋体"/>
          <w:color w:val="auto"/>
          <w:sz w:val="24"/>
          <w:szCs w:val="20"/>
          <w:highlight w:val="none"/>
        </w:rPr>
        <w:t>.</w:t>
      </w:r>
      <w:r>
        <w:rPr>
          <w:rFonts w:ascii="宋体" w:hAnsi="宋体"/>
          <w:color w:val="auto"/>
          <w:sz w:val="24"/>
          <w:szCs w:val="20"/>
          <w:highlight w:val="none"/>
        </w:rPr>
        <w:t>投标文件格式</w:t>
      </w:r>
    </w:p>
    <w:p w14:paraId="621BEC74">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7.本项目</w:t>
      </w:r>
      <w:r>
        <w:rPr>
          <w:rFonts w:ascii="宋体" w:hAnsi="宋体"/>
          <w:color w:val="auto"/>
          <w:sz w:val="24"/>
          <w:szCs w:val="20"/>
          <w:highlight w:val="none"/>
        </w:rPr>
        <w:t>采购文件</w:t>
      </w:r>
      <w:r>
        <w:rPr>
          <w:rFonts w:hint="eastAsia" w:ascii="宋体" w:hAnsi="宋体"/>
          <w:color w:val="auto"/>
          <w:sz w:val="24"/>
          <w:szCs w:val="20"/>
          <w:highlight w:val="none"/>
        </w:rPr>
        <w:t>的</w:t>
      </w:r>
      <w:r>
        <w:rPr>
          <w:rFonts w:ascii="宋体" w:hAnsi="宋体"/>
          <w:color w:val="auto"/>
          <w:sz w:val="24"/>
          <w:szCs w:val="20"/>
          <w:highlight w:val="none"/>
        </w:rPr>
        <w:t>澄清、答复、修改、补充的内容</w:t>
      </w:r>
    </w:p>
    <w:p w14:paraId="31B92327">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（二）投标人的风险</w:t>
      </w:r>
    </w:p>
    <w:p w14:paraId="78C80A81">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highlight w:val="none"/>
        </w:rPr>
      </w:pPr>
      <w:r>
        <w:rPr>
          <w:rFonts w:hint="eastAsia" w:ascii="宋体" w:hAnsi="宋体"/>
          <w:color w:val="auto"/>
          <w:sz w:val="24"/>
          <w:highlight w:val="none"/>
        </w:rPr>
        <w:t>投标人没有按照采购文件要求提供全部资料，或者投标人没有对采购文件在各方面作出实质性响应是投标人的风险，并可能导致其投标被拒绝。</w:t>
      </w:r>
    </w:p>
    <w:p w14:paraId="007D6EB1">
      <w:pPr>
        <w:keepNext w:val="0"/>
        <w:keepLines w:val="0"/>
        <w:pageBreakBefore w:val="0"/>
        <w:tabs>
          <w:tab w:val="left" w:pos="454"/>
          <w:tab w:val="left" w:pos="720"/>
        </w:tabs>
        <w:kinsoku/>
        <w:wordWrap/>
        <w:overflowPunct/>
        <w:topLinePunct w:val="0"/>
        <w:bidi w:val="0"/>
        <w:adjustRightInd/>
        <w:snapToGrid w:val="0"/>
        <w:spacing w:line="400" w:lineRule="exact"/>
        <w:ind w:left="0" w:leftChars="0" w:firstLine="472" w:firstLineChars="196"/>
        <w:jc w:val="left"/>
        <w:rPr>
          <w:rFonts w:hint="eastAsia" w:ascii="宋体" w:hAnsi="宋体"/>
          <w:b/>
          <w:color w:val="auto"/>
          <w:kern w:val="0"/>
          <w:sz w:val="24"/>
          <w:highlight w:val="none"/>
        </w:rPr>
      </w:pPr>
      <w:r>
        <w:rPr>
          <w:rFonts w:hint="eastAsia" w:ascii="宋体" w:hAnsi="宋体"/>
          <w:b/>
          <w:color w:val="auto"/>
          <w:kern w:val="0"/>
          <w:sz w:val="24"/>
          <w:highlight w:val="none"/>
        </w:rPr>
        <w:t>（三）采购文件的澄清与修改</w:t>
      </w:r>
    </w:p>
    <w:p w14:paraId="4D391D6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1.在投标截止时间前，采购代理公司对已发出的采购文件进行必要澄清或者修改时，将依法在指定的采购信息发布媒体上（湖州市绿色采购服务平台 http://www.hzlscgfw.cn/）发布更正公告，各投标人自行查看下载。该澄清或者修改的内容为采购文件的组成部分，对所有投标人有约束力。</w:t>
      </w:r>
    </w:p>
    <w:p w14:paraId="66FAF11B">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2. 如澄清或修改等公告内容影响投标文件编制的在投标截止日</w:t>
      </w:r>
      <w:r>
        <w:rPr>
          <w:rFonts w:hint="eastAsia" w:ascii="宋体" w:hAnsi="宋体"/>
          <w:color w:val="auto"/>
          <w:sz w:val="24"/>
          <w:highlight w:val="none"/>
          <w:lang w:val="en-US" w:eastAsia="zh-CN"/>
        </w:rPr>
        <w:t>3</w:t>
      </w:r>
      <w:r>
        <w:rPr>
          <w:rFonts w:hint="eastAsia" w:ascii="宋体" w:hAnsi="宋体"/>
          <w:color w:val="auto"/>
          <w:sz w:val="24"/>
          <w:highlight w:val="none"/>
        </w:rPr>
        <w:t>天前发布（以发出日期为准），</w:t>
      </w:r>
      <w:r>
        <w:rPr>
          <w:rFonts w:hint="eastAsia" w:ascii="宋体" w:hAnsi="宋体"/>
          <w:color w:val="auto"/>
          <w:sz w:val="24"/>
          <w:highlight w:val="none"/>
        </w:rPr>
        <w:t>不足</w:t>
      </w:r>
      <w:r>
        <w:rPr>
          <w:rFonts w:hint="eastAsia" w:ascii="宋体" w:hAnsi="宋体"/>
          <w:color w:val="auto"/>
          <w:sz w:val="24"/>
          <w:highlight w:val="none"/>
          <w:lang w:val="en-US" w:eastAsia="zh-CN"/>
        </w:rPr>
        <w:t>3</w:t>
      </w:r>
      <w:r>
        <w:rPr>
          <w:rFonts w:hint="eastAsia" w:ascii="宋体" w:hAnsi="宋体"/>
          <w:color w:val="auto"/>
          <w:sz w:val="24"/>
          <w:highlight w:val="none"/>
        </w:rPr>
        <w:t>天的</w:t>
      </w:r>
      <w:r>
        <w:rPr>
          <w:rFonts w:hint="eastAsia" w:ascii="宋体" w:hAnsi="宋体"/>
          <w:color w:val="auto"/>
          <w:sz w:val="24"/>
          <w:highlight w:val="none"/>
        </w:rPr>
        <w:t>，开标时间顺延。</w:t>
      </w:r>
    </w:p>
    <w:p w14:paraId="3AF29B78">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3.采购文件澄清、答复、修改、补充的内容为采购文件的组成部分。当采购文件与采购文件的答复、澄清、修改、补充通知就同一内容的表述不一致时，以最后发出的书面文件为准。</w:t>
      </w:r>
    </w:p>
    <w:p w14:paraId="1B009650">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4.采购文件的澄清、答复、修改或补充都应该通过本代理机构以法定形式发布，采购人非通过本机构，不得擅自澄清、答复、修改或补充采购文件。</w:t>
      </w:r>
    </w:p>
    <w:p w14:paraId="670B49E9">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5.本项目（仅指电子招投标）若发布了澄清文件（指招标文件补疑内容），投标人必须选择澄清文件进行投标文件制作，否则其投标文件将无法上传。</w:t>
      </w:r>
    </w:p>
    <w:p w14:paraId="784AC4E4">
      <w:pPr>
        <w:keepNext w:val="0"/>
        <w:keepLines w:val="0"/>
        <w:pageBreakBefore w:val="0"/>
        <w:kinsoku/>
        <w:wordWrap/>
        <w:overflowPunct/>
        <w:topLinePunct w:val="0"/>
        <w:bidi w:val="0"/>
        <w:adjustRightInd/>
        <w:snapToGrid w:val="0"/>
        <w:spacing w:line="400" w:lineRule="exact"/>
        <w:ind w:left="0" w:leftChars="0" w:firstLine="551" w:firstLineChars="196"/>
        <w:rPr>
          <w:rFonts w:hint="eastAsia" w:ascii="宋体" w:hAnsi="宋体"/>
          <w:b/>
          <w:color w:val="auto"/>
          <w:sz w:val="28"/>
          <w:szCs w:val="28"/>
          <w:highlight w:val="none"/>
        </w:rPr>
      </w:pPr>
      <w:r>
        <w:rPr>
          <w:rFonts w:ascii="宋体" w:hAnsi="宋体"/>
          <w:b/>
          <w:color w:val="auto"/>
          <w:sz w:val="28"/>
          <w:szCs w:val="28"/>
          <w:highlight w:val="none"/>
        </w:rPr>
        <w:t>三、投标文件的编制</w:t>
      </w:r>
    </w:p>
    <w:p w14:paraId="405335CA">
      <w:pPr>
        <w:keepNext w:val="0"/>
        <w:keepLines w:val="0"/>
        <w:pageBreakBefore w:val="0"/>
        <w:kinsoku/>
        <w:wordWrap/>
        <w:overflowPunct/>
        <w:topLinePunct w:val="0"/>
        <w:bidi w:val="0"/>
        <w:adjustRightInd/>
        <w:spacing w:line="400" w:lineRule="exact"/>
        <w:ind w:left="0" w:leftChars="0" w:firstLine="595" w:firstLineChars="247"/>
        <w:rPr>
          <w:rFonts w:hint="eastAsia" w:ascii="宋体" w:hAnsi="宋体"/>
          <w:b/>
          <w:color w:val="auto"/>
          <w:sz w:val="24"/>
          <w:highlight w:val="none"/>
        </w:rPr>
      </w:pPr>
      <w:r>
        <w:rPr>
          <w:rFonts w:hint="eastAsia" w:ascii="宋体" w:hAnsi="宋体"/>
          <w:b/>
          <w:color w:val="auto"/>
          <w:sz w:val="24"/>
          <w:highlight w:val="none"/>
        </w:rPr>
        <w:t>注：投标人应保证所提供文件资料的真实性，所有文件资料必须是针对本次投标的。如发现投标人提供了虚假文件资料，其投标将被拒绝，并自行承担相应的法律责任。</w:t>
      </w:r>
    </w:p>
    <w:p w14:paraId="0437A2D2">
      <w:pPr>
        <w:keepNext w:val="0"/>
        <w:keepLines w:val="0"/>
        <w:pageBreakBefore w:val="0"/>
        <w:kinsoku/>
        <w:wordWrap/>
        <w:overflowPunct/>
        <w:topLinePunct w:val="0"/>
        <w:bidi w:val="0"/>
        <w:adjustRightInd/>
        <w:spacing w:line="400" w:lineRule="exact"/>
        <w:ind w:left="0" w:leftChars="0" w:firstLine="595" w:firstLineChars="247"/>
        <w:rPr>
          <w:rFonts w:hint="eastAsia" w:ascii="宋体" w:hAnsi="宋体"/>
          <w:b/>
          <w:color w:val="auto"/>
          <w:sz w:val="24"/>
          <w:highlight w:val="none"/>
        </w:rPr>
      </w:pPr>
      <w:r>
        <w:rPr>
          <w:rFonts w:hint="eastAsia" w:ascii="宋体" w:hAnsi="宋体"/>
          <w:b/>
          <w:color w:val="auto"/>
          <w:sz w:val="24"/>
          <w:highlight w:val="none"/>
        </w:rPr>
        <w:t>（一）投标文件的形式</w:t>
      </w:r>
    </w:p>
    <w:p w14:paraId="0BB19026">
      <w:pPr>
        <w:keepNext w:val="0"/>
        <w:keepLines w:val="0"/>
        <w:pageBreakBefore w:val="0"/>
        <w:kinsoku/>
        <w:wordWrap/>
        <w:overflowPunct/>
        <w:topLinePunct w:val="0"/>
        <w:bidi w:val="0"/>
        <w:adjustRightInd/>
        <w:spacing w:line="400" w:lineRule="exact"/>
        <w:ind w:left="0" w:leftChars="0" w:firstLine="592" w:firstLineChars="247"/>
        <w:rPr>
          <w:rFonts w:hint="eastAsia" w:ascii="宋体" w:hAnsi="宋体"/>
          <w:b w:val="0"/>
          <w:bCs/>
          <w:color w:val="auto"/>
          <w:sz w:val="24"/>
          <w:highlight w:val="none"/>
        </w:rPr>
      </w:pPr>
      <w:r>
        <w:rPr>
          <w:rFonts w:hint="eastAsia" w:ascii="宋体" w:hAnsi="宋体"/>
          <w:b w:val="0"/>
          <w:bCs/>
          <w:color w:val="auto"/>
          <w:sz w:val="24"/>
          <w:highlight w:val="none"/>
        </w:rPr>
        <w:t>注册及标书制作工具相关下载地址：http://www.hzlscgfw.cn/xzzx/sec.html</w:t>
      </w:r>
    </w:p>
    <w:p w14:paraId="0F57D0A8">
      <w:pPr>
        <w:keepNext w:val="0"/>
        <w:keepLines w:val="0"/>
        <w:pageBreakBefore w:val="0"/>
        <w:kinsoku/>
        <w:wordWrap/>
        <w:overflowPunct/>
        <w:topLinePunct w:val="0"/>
        <w:bidi w:val="0"/>
        <w:adjustRightInd/>
        <w:spacing w:line="400" w:lineRule="exact"/>
        <w:ind w:left="0" w:leftChars="0" w:firstLine="592" w:firstLineChars="247"/>
        <w:rPr>
          <w:rFonts w:hint="eastAsia" w:ascii="宋体" w:hAnsi="宋体"/>
          <w:b w:val="0"/>
          <w:bCs/>
          <w:color w:val="auto"/>
          <w:sz w:val="24"/>
          <w:highlight w:val="none"/>
        </w:rPr>
      </w:pPr>
      <w:r>
        <w:rPr>
          <w:rFonts w:hint="eastAsia" w:ascii="宋体" w:hAnsi="宋体"/>
          <w:b w:val="0"/>
          <w:bCs/>
          <w:color w:val="auto"/>
          <w:sz w:val="24"/>
          <w:highlight w:val="none"/>
        </w:rPr>
        <w:t>投标文件（CA加密后的电子投标文件）递交：投标人应在投标截止时间前登录湖州市绿色采购服务平台-供应商登录-上传响应文件模块，上传CA加密后的电子竞包文件；</w:t>
      </w:r>
    </w:p>
    <w:p w14:paraId="39941F97">
      <w:pPr>
        <w:keepNext w:val="0"/>
        <w:keepLines w:val="0"/>
        <w:pageBreakBefore w:val="0"/>
        <w:kinsoku/>
        <w:wordWrap/>
        <w:overflowPunct/>
        <w:topLinePunct w:val="0"/>
        <w:bidi w:val="0"/>
        <w:adjustRightInd/>
        <w:spacing w:line="400" w:lineRule="exact"/>
        <w:ind w:left="0" w:leftChars="0" w:firstLine="595" w:firstLineChars="247"/>
        <w:rPr>
          <w:rFonts w:hint="eastAsia" w:ascii="宋体" w:hAnsi="宋体"/>
          <w:b/>
          <w:color w:val="auto"/>
          <w:sz w:val="28"/>
          <w:szCs w:val="28"/>
          <w:highlight w:val="none"/>
        </w:rPr>
      </w:pPr>
      <w:r>
        <w:rPr>
          <w:rFonts w:hint="eastAsia" w:ascii="宋体" w:hAnsi="宋体"/>
          <w:b/>
          <w:color w:val="auto"/>
          <w:sz w:val="24"/>
          <w:highlight w:val="none"/>
        </w:rPr>
        <w:t>关于本项目投标价格的信息只允许出现在“报价文件”中，不得出现在技术标及商务标中。</w:t>
      </w:r>
    </w:p>
    <w:p w14:paraId="48913E86">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（一）投标文件的组成</w:t>
      </w:r>
    </w:p>
    <w:p w14:paraId="54C89B89">
      <w:pPr>
        <w:keepNext w:val="0"/>
        <w:keepLines w:val="0"/>
        <w:pageBreakBefore w:val="0"/>
        <w:kinsoku/>
        <w:wordWrap/>
        <w:overflowPunct/>
        <w:topLinePunct w:val="0"/>
        <w:bidi w:val="0"/>
        <w:adjustRightInd/>
        <w:spacing w:line="400" w:lineRule="exact"/>
        <w:ind w:left="0" w:leftChars="0" w:firstLine="595" w:firstLineChars="247"/>
        <w:rPr>
          <w:rFonts w:hint="eastAsia" w:ascii="宋体" w:hAnsi="宋体"/>
          <w:b/>
          <w:color w:val="auto"/>
          <w:sz w:val="24"/>
          <w:szCs w:val="24"/>
          <w:highlight w:val="none"/>
        </w:rPr>
      </w:pPr>
      <w:r>
        <w:rPr>
          <w:rFonts w:hint="eastAsia" w:ascii="宋体" w:hAnsi="宋体"/>
          <w:b/>
          <w:color w:val="auto"/>
          <w:sz w:val="24"/>
          <w:szCs w:val="24"/>
          <w:highlight w:val="none"/>
        </w:rPr>
        <w:t>投标文件由资信及商务文件、技术文件、投标报价文件三部份组成。</w:t>
      </w:r>
    </w:p>
    <w:p w14:paraId="01CD281F">
      <w:pPr>
        <w:keepNext w:val="0"/>
        <w:keepLines w:val="0"/>
        <w:pageBreakBefore w:val="0"/>
        <w:numPr>
          <w:ilvl w:val="3"/>
          <w:numId w:val="6"/>
        </w:numPr>
        <w:kinsoku/>
        <w:wordWrap/>
        <w:overflowPunct/>
        <w:topLinePunct w:val="0"/>
        <w:bidi w:val="0"/>
        <w:adjustRightInd/>
        <w:snapToGrid w:val="0"/>
        <w:spacing w:line="400" w:lineRule="exact"/>
        <w:ind w:left="0" w:leftChars="0"/>
        <w:jc w:val="left"/>
        <w:rPr>
          <w:rFonts w:hint="eastAsia" w:ascii="宋体" w:hAnsi="宋体"/>
          <w:b/>
          <w:color w:val="auto"/>
          <w:sz w:val="24"/>
          <w:szCs w:val="20"/>
          <w:highlight w:val="none"/>
        </w:rPr>
      </w:pPr>
      <w:r>
        <w:rPr>
          <w:rFonts w:ascii="宋体" w:hAnsi="宋体"/>
          <w:b/>
          <w:color w:val="auto"/>
          <w:sz w:val="24"/>
          <w:szCs w:val="20"/>
          <w:highlight w:val="none"/>
        </w:rPr>
        <w:t>资信及商务文件</w:t>
      </w:r>
    </w:p>
    <w:p w14:paraId="16E49DC1">
      <w:pPr>
        <w:keepNext w:val="0"/>
        <w:keepLines w:val="0"/>
        <w:pageBreakBefore w:val="0"/>
        <w:tabs>
          <w:tab w:val="left" w:pos="420"/>
        </w:tabs>
        <w:kinsoku/>
        <w:wordWrap/>
        <w:overflowPunct/>
        <w:topLinePunct w:val="0"/>
        <w:bidi w:val="0"/>
        <w:adjustRightInd/>
        <w:spacing w:line="400" w:lineRule="exact"/>
        <w:ind w:left="0" w:leftChars="0"/>
        <w:rPr>
          <w:rFonts w:hint="eastAsia" w:ascii="宋体" w:hAnsi="宋体"/>
          <w:b/>
          <w:color w:val="auto"/>
          <w:sz w:val="24"/>
          <w:highlight w:val="none"/>
        </w:rPr>
      </w:pPr>
      <w:r>
        <w:rPr>
          <w:rFonts w:hint="eastAsia" w:ascii="宋体" w:hAnsi="宋体"/>
          <w:b/>
          <w:color w:val="auto"/>
          <w:sz w:val="24"/>
          <w:highlight w:val="none"/>
        </w:rPr>
        <w:t>A</w:t>
      </w:r>
      <w:r>
        <w:rPr>
          <w:rFonts w:ascii="宋体" w:hAnsi="宋体"/>
          <w:b/>
          <w:color w:val="auto"/>
          <w:sz w:val="24"/>
          <w:highlight w:val="none"/>
        </w:rPr>
        <w:t>.</w:t>
      </w:r>
      <w:r>
        <w:rPr>
          <w:rFonts w:hint="eastAsia" w:ascii="宋体" w:hAnsi="宋体"/>
          <w:b/>
          <w:color w:val="auto"/>
          <w:sz w:val="24"/>
          <w:highlight w:val="none"/>
        </w:rPr>
        <w:t>资格审查部分：</w:t>
      </w:r>
    </w:p>
    <w:p w14:paraId="18283771">
      <w:pPr>
        <w:keepNext w:val="0"/>
        <w:keepLines w:val="0"/>
        <w:pageBreakBefore w:val="0"/>
        <w:widowControl/>
        <w:kinsoku/>
        <w:wordWrap/>
        <w:overflowPunct/>
        <w:topLinePunct w:val="0"/>
        <w:bidi w:val="0"/>
        <w:adjustRightInd/>
        <w:spacing w:line="400" w:lineRule="exact"/>
        <w:ind w:left="0" w:leftChars="0" w:firstLine="542" w:firstLineChars="225"/>
        <w:jc w:val="left"/>
        <w:rPr>
          <w:rFonts w:hint="eastAsia" w:ascii="宋体" w:hAnsi="宋体"/>
          <w:b/>
          <w:color w:val="auto"/>
          <w:sz w:val="24"/>
          <w:highlight w:val="none"/>
        </w:rPr>
      </w:pPr>
      <w:r>
        <w:rPr>
          <w:rFonts w:hint="eastAsia" w:ascii="宋体" w:hAnsi="宋体"/>
          <w:b/>
          <w:color w:val="auto"/>
          <w:sz w:val="24"/>
          <w:highlight w:val="none"/>
        </w:rPr>
        <w:t>a.投标单位的有效工商营业执照或法人证书</w:t>
      </w:r>
      <w:r>
        <w:rPr>
          <w:rFonts w:hint="eastAsia" w:ascii="宋体" w:hAnsi="宋体"/>
          <w:b/>
          <w:bCs/>
          <w:color w:val="auto"/>
          <w:sz w:val="24"/>
          <w:highlight w:val="none"/>
        </w:rPr>
        <w:t>扫描件；</w:t>
      </w:r>
      <w:r>
        <w:rPr>
          <w:rFonts w:hint="eastAsia" w:ascii="宋体" w:hAnsi="宋体"/>
          <w:b/>
          <w:color w:val="auto"/>
          <w:sz w:val="24"/>
          <w:highlight w:val="none"/>
        </w:rPr>
        <w:t xml:space="preserve"> </w:t>
      </w:r>
    </w:p>
    <w:p w14:paraId="43F01978">
      <w:pPr>
        <w:keepNext w:val="0"/>
        <w:keepLines w:val="0"/>
        <w:pageBreakBefore w:val="0"/>
        <w:widowControl/>
        <w:kinsoku/>
        <w:wordWrap/>
        <w:overflowPunct/>
        <w:topLinePunct w:val="0"/>
        <w:bidi w:val="0"/>
        <w:adjustRightInd/>
        <w:spacing w:line="400" w:lineRule="exact"/>
        <w:ind w:left="0" w:leftChars="0" w:firstLine="542" w:firstLineChars="225"/>
        <w:jc w:val="left"/>
        <w:rPr>
          <w:rFonts w:hint="eastAsia" w:ascii="宋体" w:hAnsi="宋体"/>
          <w:b/>
          <w:color w:val="auto"/>
          <w:sz w:val="24"/>
          <w:highlight w:val="none"/>
        </w:rPr>
      </w:pPr>
      <w:r>
        <w:rPr>
          <w:rFonts w:hint="eastAsia" w:ascii="宋体" w:hAnsi="宋体"/>
          <w:b/>
          <w:color w:val="auto"/>
          <w:sz w:val="24"/>
          <w:highlight w:val="none"/>
        </w:rPr>
        <w:t xml:space="preserve">b.投标单位的承诺函（格式见附件）； </w:t>
      </w:r>
    </w:p>
    <w:p w14:paraId="3145AA3F">
      <w:pPr>
        <w:keepNext w:val="0"/>
        <w:keepLines w:val="0"/>
        <w:pageBreakBefore w:val="0"/>
        <w:widowControl/>
        <w:kinsoku/>
        <w:wordWrap/>
        <w:overflowPunct/>
        <w:topLinePunct w:val="0"/>
        <w:bidi w:val="0"/>
        <w:adjustRightInd/>
        <w:spacing w:line="400" w:lineRule="exact"/>
        <w:ind w:left="0" w:leftChars="0" w:firstLine="540" w:firstLineChars="224"/>
        <w:jc w:val="left"/>
        <w:rPr>
          <w:rFonts w:hint="eastAsia" w:ascii="宋体" w:hAnsi="宋体"/>
          <w:b/>
          <w:color w:val="auto"/>
          <w:sz w:val="24"/>
          <w:highlight w:val="none"/>
        </w:rPr>
      </w:pPr>
      <w:r>
        <w:rPr>
          <w:rFonts w:hint="eastAsia" w:ascii="宋体" w:hAnsi="宋体"/>
          <w:b/>
          <w:color w:val="auto"/>
          <w:sz w:val="24"/>
          <w:highlight w:val="none"/>
        </w:rPr>
        <w:t>c.</w:t>
      </w:r>
      <w:r>
        <w:rPr>
          <w:rFonts w:hint="eastAsia" w:ascii="宋体" w:hAnsi="宋体"/>
          <w:b/>
          <w:color w:val="auto"/>
          <w:sz w:val="24"/>
          <w:szCs w:val="24"/>
          <w:highlight w:val="none"/>
        </w:rPr>
        <w:t>法定代表人授权委托书、被授权人身份证复印件加盖公章；(格式见附件，签字、盖章按格式响应)</w:t>
      </w:r>
      <w:r>
        <w:rPr>
          <w:rFonts w:hint="eastAsia" w:ascii="宋体" w:hAnsi="宋体"/>
          <w:b/>
          <w:color w:val="auto"/>
          <w:sz w:val="24"/>
          <w:highlight w:val="none"/>
        </w:rPr>
        <w:t>；</w:t>
      </w:r>
    </w:p>
    <w:p w14:paraId="57BE9817">
      <w:pPr>
        <w:keepNext w:val="0"/>
        <w:keepLines w:val="0"/>
        <w:pageBreakBefore w:val="0"/>
        <w:widowControl/>
        <w:kinsoku/>
        <w:wordWrap/>
        <w:overflowPunct/>
        <w:topLinePunct w:val="0"/>
        <w:bidi w:val="0"/>
        <w:adjustRightInd/>
        <w:spacing w:line="400" w:lineRule="exact"/>
        <w:ind w:left="0" w:leftChars="0" w:firstLine="540" w:firstLineChars="224"/>
        <w:jc w:val="left"/>
        <w:rPr>
          <w:rFonts w:hint="eastAsia" w:ascii="宋体" w:hAnsi="宋体"/>
          <w:b/>
          <w:bCs/>
          <w:color w:val="auto"/>
          <w:sz w:val="24"/>
          <w:highlight w:val="none"/>
        </w:rPr>
      </w:pPr>
      <w:r>
        <w:rPr>
          <w:rFonts w:hint="eastAsia" w:ascii="宋体" w:hAnsi="宋体"/>
          <w:b/>
          <w:color w:val="auto"/>
          <w:sz w:val="24"/>
          <w:highlight w:val="none"/>
        </w:rPr>
        <w:t>d.投标单位的其他投标资格证明文件</w:t>
      </w:r>
      <w:r>
        <w:rPr>
          <w:rFonts w:hint="eastAsia" w:ascii="宋体" w:hAnsi="宋体"/>
          <w:b/>
          <w:color w:val="auto"/>
          <w:sz w:val="24"/>
          <w:szCs w:val="24"/>
          <w:highlight w:val="none"/>
        </w:rPr>
        <w:t>复印件加盖公章（若供应商为总公司所设立的区域性分支机构（分公司），以及个体工商户、个人独资企业、合伙企业需提供房产权证、车辆行驶证或其他固定资产等有效财产证明材料复印件加盖公章）</w:t>
      </w:r>
      <w:r>
        <w:rPr>
          <w:rFonts w:hint="eastAsia" w:ascii="宋体" w:hAnsi="宋体"/>
          <w:b/>
          <w:bCs/>
          <w:color w:val="auto"/>
          <w:sz w:val="24"/>
          <w:highlight w:val="none"/>
        </w:rPr>
        <w:t>；</w:t>
      </w:r>
    </w:p>
    <w:p w14:paraId="24F2C4D9">
      <w:pPr>
        <w:pStyle w:val="26"/>
        <w:keepNext w:val="0"/>
        <w:keepLines w:val="0"/>
        <w:pageBreakBefore w:val="0"/>
        <w:kinsoku/>
        <w:wordWrap/>
        <w:overflowPunct/>
        <w:topLinePunct w:val="0"/>
        <w:bidi w:val="0"/>
        <w:adjustRightInd/>
        <w:spacing w:before="0" w:after="0" w:line="400" w:lineRule="exact"/>
        <w:ind w:left="0" w:leftChars="0" w:firstLine="482" w:firstLineChars="200"/>
        <w:rPr>
          <w:color w:val="auto"/>
          <w:highlight w:val="none"/>
        </w:rPr>
      </w:pPr>
      <w:r>
        <w:rPr>
          <w:rFonts w:hint="eastAsia" w:ascii="宋体" w:hAnsi="宋体"/>
          <w:b/>
          <w:bCs w:val="0"/>
          <w:color w:val="auto"/>
          <w:spacing w:val="0"/>
          <w:kern w:val="2"/>
          <w:szCs w:val="24"/>
          <w:highlight w:val="none"/>
        </w:rPr>
        <w:t>e.投标单位需提供本项目投标保证金缴纳凭证“以系统中保证金明细查询结果为准”。</w:t>
      </w:r>
    </w:p>
    <w:p w14:paraId="5944E485">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bookmarkStart w:id="5" w:name="_Hlk162707473"/>
      <w:r>
        <w:rPr>
          <w:rFonts w:hint="eastAsia" w:ascii="宋体" w:hAnsi="宋体"/>
          <w:color w:val="auto"/>
          <w:sz w:val="24"/>
          <w:highlight w:val="none"/>
        </w:rPr>
        <w:t>B.供应商采购响应文件评分索引一览表（格式见附件）</w:t>
      </w:r>
    </w:p>
    <w:p w14:paraId="2A19D73C">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 xml:space="preserve">C.投标声明书（格式见附件） </w:t>
      </w:r>
    </w:p>
    <w:p w14:paraId="271505CF">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D.</w:t>
      </w:r>
      <w:r>
        <w:rPr>
          <w:rFonts w:hint="eastAsia" w:ascii="宋体" w:hAnsi="宋体"/>
          <w:color w:val="auto"/>
          <w:sz w:val="24"/>
          <w:highlight w:val="none"/>
          <w:lang w:val="en-US" w:eastAsia="zh-CN"/>
        </w:rPr>
        <w:t>类似业绩</w:t>
      </w:r>
      <w:r>
        <w:rPr>
          <w:rFonts w:hint="eastAsia" w:ascii="宋体" w:hAnsi="宋体"/>
          <w:color w:val="auto"/>
          <w:sz w:val="24"/>
          <w:highlight w:val="none"/>
        </w:rPr>
        <w:t xml:space="preserve"> </w:t>
      </w:r>
    </w:p>
    <w:p w14:paraId="46AA82FF">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lang w:val="en-US" w:eastAsia="zh-CN"/>
        </w:rPr>
      </w:pPr>
      <w:r>
        <w:rPr>
          <w:rFonts w:hint="eastAsia" w:ascii="宋体" w:hAnsi="宋体"/>
          <w:color w:val="auto"/>
          <w:sz w:val="24"/>
          <w:highlight w:val="none"/>
        </w:rPr>
        <w:t>E.</w:t>
      </w:r>
      <w:r>
        <w:rPr>
          <w:rFonts w:hint="eastAsia" w:ascii="宋体" w:hAnsi="宋体"/>
          <w:color w:val="auto"/>
          <w:sz w:val="24"/>
          <w:highlight w:val="none"/>
          <w:lang w:val="en-US" w:eastAsia="zh-CN"/>
        </w:rPr>
        <w:t>质保期</w:t>
      </w:r>
    </w:p>
    <w:p w14:paraId="0D67B7F6">
      <w:pPr>
        <w:keepNext w:val="0"/>
        <w:keepLines w:val="0"/>
        <w:pageBreakBefore w:val="0"/>
        <w:kinsoku/>
        <w:wordWrap/>
        <w:overflowPunct/>
        <w:topLinePunct w:val="0"/>
        <w:bidi w:val="0"/>
        <w:adjustRightInd/>
        <w:snapToGrid w:val="0"/>
        <w:spacing w:line="400" w:lineRule="exact"/>
        <w:ind w:left="0" w:leftChars="0"/>
        <w:rPr>
          <w:rFonts w:hint="default" w:ascii="宋体" w:hAnsi="宋体" w:eastAsia="宋体"/>
          <w:color w:val="auto"/>
          <w:sz w:val="24"/>
          <w:highlight w:val="none"/>
          <w:lang w:val="en-US" w:eastAsia="zh-CN"/>
        </w:rPr>
      </w:pPr>
      <w:r>
        <w:rPr>
          <w:rFonts w:hint="eastAsia" w:ascii="宋体" w:hAnsi="宋体"/>
          <w:color w:val="auto"/>
          <w:sz w:val="24"/>
          <w:highlight w:val="none"/>
        </w:rPr>
        <w:t>F.</w:t>
      </w:r>
      <w:r>
        <w:rPr>
          <w:rFonts w:hint="eastAsia" w:ascii="宋体" w:hAnsi="宋体"/>
          <w:color w:val="auto"/>
          <w:sz w:val="24"/>
          <w:highlight w:val="none"/>
          <w:lang w:val="en-US" w:eastAsia="zh-CN"/>
        </w:rPr>
        <w:t>售后服务及承诺</w:t>
      </w:r>
    </w:p>
    <w:p w14:paraId="3CBACE4E">
      <w:pPr>
        <w:keepNext w:val="0"/>
        <w:keepLines w:val="0"/>
        <w:pageBreakBefore w:val="0"/>
        <w:kinsoku/>
        <w:wordWrap/>
        <w:overflowPunct/>
        <w:topLinePunct w:val="0"/>
        <w:bidi w:val="0"/>
        <w:adjustRightInd/>
        <w:snapToGrid w:val="0"/>
        <w:spacing w:line="400" w:lineRule="exact"/>
        <w:ind w:left="0" w:leftChars="0"/>
        <w:rPr>
          <w:rFonts w:hint="default" w:ascii="宋体" w:hAnsi="宋体" w:eastAsia="宋体"/>
          <w:color w:val="auto"/>
          <w:sz w:val="24"/>
          <w:highlight w:val="none"/>
          <w:lang w:val="en-US" w:eastAsia="zh-CN"/>
        </w:rPr>
      </w:pPr>
      <w:r>
        <w:rPr>
          <w:rFonts w:hint="eastAsia" w:ascii="宋体" w:hAnsi="宋体"/>
          <w:color w:val="auto"/>
          <w:sz w:val="24"/>
          <w:highlight w:val="none"/>
        </w:rPr>
        <w:t>G.</w:t>
      </w:r>
      <w:r>
        <w:rPr>
          <w:rFonts w:hint="eastAsia" w:ascii="宋体" w:hAnsi="宋体"/>
          <w:color w:val="auto"/>
          <w:sz w:val="24"/>
          <w:highlight w:val="none"/>
          <w:lang w:val="en-US" w:eastAsia="zh-CN"/>
        </w:rPr>
        <w:t>商务偏离表</w:t>
      </w:r>
      <w:r>
        <w:rPr>
          <w:rFonts w:hint="eastAsia" w:ascii="宋体" w:hAnsi="宋体"/>
          <w:color w:val="auto"/>
          <w:sz w:val="24"/>
          <w:highlight w:val="none"/>
        </w:rPr>
        <w:t>（格式见附件）</w:t>
      </w:r>
    </w:p>
    <w:p w14:paraId="3C77B54B">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lang w:val="en-US" w:eastAsia="zh-CN"/>
        </w:rPr>
        <w:t>H.</w:t>
      </w:r>
      <w:r>
        <w:rPr>
          <w:rFonts w:hint="eastAsia" w:ascii="宋体" w:hAnsi="宋体"/>
          <w:color w:val="auto"/>
          <w:sz w:val="24"/>
          <w:highlight w:val="none"/>
        </w:rPr>
        <w:t>采购文件要求的，以及投标人认为要说明的其他内容。</w:t>
      </w:r>
    </w:p>
    <w:p w14:paraId="7A5FCD56">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b/>
          <w:bCs/>
          <w:color w:val="auto"/>
          <w:sz w:val="24"/>
          <w:highlight w:val="none"/>
        </w:rPr>
        <w:t>2.技术部分包括但不限于以下内容：</w:t>
      </w:r>
      <w:r>
        <w:rPr>
          <w:rFonts w:hint="eastAsia" w:ascii="宋体" w:hAnsi="宋体"/>
          <w:color w:val="auto"/>
          <w:sz w:val="24"/>
          <w:highlight w:val="none"/>
        </w:rPr>
        <w:t xml:space="preserve">  </w:t>
      </w:r>
    </w:p>
    <w:p w14:paraId="6A8BD757">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 xml:space="preserve">A.技术指标 </w:t>
      </w:r>
    </w:p>
    <w:p w14:paraId="13236175">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B.</w:t>
      </w:r>
      <w:r>
        <w:rPr>
          <w:rFonts w:hint="eastAsia" w:ascii="宋体" w:hAnsi="宋体"/>
          <w:color w:val="auto"/>
          <w:sz w:val="24"/>
          <w:highlight w:val="none"/>
          <w:lang w:val="en-US" w:eastAsia="zh-CN"/>
        </w:rPr>
        <w:t>实施</w:t>
      </w:r>
      <w:r>
        <w:rPr>
          <w:rFonts w:hint="eastAsia" w:ascii="宋体" w:hAnsi="宋体"/>
          <w:color w:val="auto"/>
          <w:sz w:val="24"/>
          <w:highlight w:val="none"/>
        </w:rPr>
        <w:t>方案</w:t>
      </w:r>
    </w:p>
    <w:p w14:paraId="56CDE80D">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C.</w:t>
      </w:r>
      <w:r>
        <w:rPr>
          <w:rFonts w:hint="eastAsia" w:ascii="宋体" w:hAnsi="宋体" w:eastAsia="宋体" w:cs="宋体"/>
          <w:color w:val="auto"/>
          <w:kern w:val="0"/>
          <w:sz w:val="24"/>
          <w:szCs w:val="24"/>
          <w:highlight w:val="none"/>
        </w:rPr>
        <w:t>突发应急预案</w:t>
      </w:r>
    </w:p>
    <w:p w14:paraId="5133A453">
      <w:pPr>
        <w:keepNext w:val="0"/>
        <w:keepLines w:val="0"/>
        <w:pageBreakBefore w:val="0"/>
        <w:kinsoku/>
        <w:wordWrap/>
        <w:overflowPunct/>
        <w:topLinePunct w:val="0"/>
        <w:bidi w:val="0"/>
        <w:adjustRightInd/>
        <w:snapToGrid w:val="0"/>
        <w:spacing w:line="400" w:lineRule="exact"/>
        <w:ind w:left="0" w:leftChars="0"/>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D.培训方案</w:t>
      </w:r>
    </w:p>
    <w:p w14:paraId="6CCDA8F1">
      <w:pPr>
        <w:keepNext w:val="0"/>
        <w:keepLines w:val="0"/>
        <w:pageBreakBefore w:val="0"/>
        <w:kinsoku/>
        <w:wordWrap/>
        <w:overflowPunct/>
        <w:topLinePunct w:val="0"/>
        <w:bidi w:val="0"/>
        <w:adjustRightInd/>
        <w:snapToGrid w:val="0"/>
        <w:spacing w:line="400" w:lineRule="exact"/>
        <w:ind w:left="0" w:leftChars="0"/>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E</w:t>
      </w:r>
      <w:r>
        <w:rPr>
          <w:rFonts w:hint="eastAsia" w:ascii="宋体" w:hAnsi="宋体"/>
          <w:color w:val="auto"/>
          <w:sz w:val="24"/>
          <w:highlight w:val="none"/>
        </w:rPr>
        <w:t>.</w:t>
      </w:r>
      <w:r>
        <w:rPr>
          <w:rFonts w:hint="eastAsia" w:ascii="宋体" w:hAnsi="宋体"/>
          <w:bCs w:val="0"/>
          <w:color w:val="auto"/>
          <w:sz w:val="24"/>
          <w:szCs w:val="24"/>
          <w:highlight w:val="none"/>
          <w:lang w:val="en-US" w:eastAsia="zh-CN"/>
        </w:rPr>
        <w:t>产品性能</w:t>
      </w:r>
    </w:p>
    <w:p w14:paraId="33153504">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lang w:val="en-US" w:eastAsia="zh-CN"/>
        </w:rPr>
        <w:t>F</w:t>
      </w:r>
      <w:r>
        <w:rPr>
          <w:rFonts w:hint="eastAsia" w:ascii="宋体" w:hAnsi="宋体"/>
          <w:color w:val="auto"/>
          <w:sz w:val="24"/>
          <w:highlight w:val="none"/>
        </w:rPr>
        <w:t>.</w:t>
      </w:r>
      <w:r>
        <w:rPr>
          <w:rFonts w:hint="eastAsia" w:ascii="宋体" w:hAnsi="宋体" w:eastAsia="宋体" w:cs="宋体"/>
          <w:bCs/>
          <w:color w:val="auto"/>
          <w:sz w:val="24"/>
          <w:szCs w:val="24"/>
          <w:highlight w:val="none"/>
        </w:rPr>
        <w:t>项目实施的重点、难点</w:t>
      </w:r>
    </w:p>
    <w:p w14:paraId="4AF23914">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lang w:val="en-US" w:eastAsia="zh-CN"/>
        </w:rPr>
        <w:t>G</w:t>
      </w:r>
      <w:r>
        <w:rPr>
          <w:rFonts w:hint="eastAsia" w:ascii="宋体" w:hAnsi="宋体"/>
          <w:color w:val="auto"/>
          <w:sz w:val="24"/>
          <w:highlight w:val="none"/>
        </w:rPr>
        <w:t>.技术指标偏离情况一览表（格式见附件）</w:t>
      </w:r>
    </w:p>
    <w:p w14:paraId="3A07AB0F">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lang w:val="en-US" w:eastAsia="zh-CN"/>
        </w:rPr>
        <w:t>H.</w:t>
      </w:r>
      <w:r>
        <w:rPr>
          <w:rFonts w:hint="eastAsia" w:ascii="宋体" w:hAnsi="宋体"/>
          <w:color w:val="auto"/>
          <w:sz w:val="24"/>
          <w:highlight w:val="none"/>
        </w:rPr>
        <w:t xml:space="preserve">采购文件要求的以及投标方认为可能需要的其他文件资料 </w:t>
      </w:r>
    </w:p>
    <w:p w14:paraId="5B2DA9F1">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b/>
          <w:bCs/>
          <w:color w:val="auto"/>
          <w:sz w:val="24"/>
          <w:highlight w:val="none"/>
        </w:rPr>
        <w:t>3.报价文件：</w:t>
      </w:r>
      <w:r>
        <w:rPr>
          <w:rFonts w:hint="eastAsia" w:ascii="宋体" w:hAnsi="宋体"/>
          <w:color w:val="auto"/>
          <w:sz w:val="24"/>
          <w:highlight w:val="none"/>
        </w:rPr>
        <w:t xml:space="preserve">  </w:t>
      </w:r>
    </w:p>
    <w:p w14:paraId="67F249D4">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 xml:space="preserve">A.投标函（格式见附件） </w:t>
      </w:r>
    </w:p>
    <w:p w14:paraId="4128BE80">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 xml:space="preserve">B.开标一览表（格式见附件） </w:t>
      </w:r>
    </w:p>
    <w:p w14:paraId="5DA1146F">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C.投标报价明细表（格式见附件）</w:t>
      </w:r>
    </w:p>
    <w:p w14:paraId="6D82D0FE">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D.采购文件要求的以及投标方认为可能需要的其他文件资料。</w:t>
      </w:r>
    </w:p>
    <w:bookmarkEnd w:id="5"/>
    <w:p w14:paraId="7BE0487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b/>
          <w:bCs/>
          <w:color w:val="auto"/>
          <w:sz w:val="24"/>
          <w:highlight w:val="none"/>
        </w:rPr>
      </w:pPr>
      <w:r>
        <w:rPr>
          <w:rFonts w:hint="eastAsia" w:ascii="宋体" w:hAnsi="宋体"/>
          <w:color w:val="auto"/>
          <w:sz w:val="24"/>
          <w:szCs w:val="20"/>
          <w:highlight w:val="none"/>
        </w:rPr>
        <w:t>▲</w:t>
      </w:r>
      <w:r>
        <w:rPr>
          <w:rFonts w:ascii="宋体" w:hAnsi="宋体"/>
          <w:b/>
          <w:bCs/>
          <w:color w:val="auto"/>
          <w:sz w:val="24"/>
          <w:highlight w:val="none"/>
        </w:rPr>
        <w:t>注：投标声明书、投标函</w:t>
      </w:r>
      <w:r>
        <w:rPr>
          <w:rFonts w:hint="eastAsia" w:ascii="宋体" w:hAnsi="宋体"/>
          <w:b/>
          <w:bCs/>
          <w:color w:val="auto"/>
          <w:sz w:val="24"/>
          <w:highlight w:val="none"/>
        </w:rPr>
        <w:t>和法定代表人授权书至少</w:t>
      </w:r>
      <w:r>
        <w:rPr>
          <w:rFonts w:ascii="宋体" w:hAnsi="宋体"/>
          <w:b/>
          <w:bCs/>
          <w:color w:val="auto"/>
          <w:sz w:val="24"/>
          <w:highlight w:val="none"/>
        </w:rPr>
        <w:t>必须</w:t>
      </w:r>
      <w:r>
        <w:rPr>
          <w:rFonts w:hint="eastAsia" w:ascii="宋体" w:hAnsi="宋体"/>
          <w:b/>
          <w:bCs/>
          <w:color w:val="auto"/>
          <w:sz w:val="24"/>
          <w:highlight w:val="none"/>
        </w:rPr>
        <w:t>各</w:t>
      </w:r>
      <w:r>
        <w:rPr>
          <w:rFonts w:ascii="宋体" w:hAnsi="宋体"/>
          <w:b/>
          <w:bCs/>
          <w:color w:val="auto"/>
          <w:sz w:val="24"/>
          <w:highlight w:val="none"/>
        </w:rPr>
        <w:t>有</w:t>
      </w:r>
      <w:r>
        <w:rPr>
          <w:rFonts w:hint="eastAsia" w:ascii="宋体" w:hAnsi="宋体"/>
          <w:b/>
          <w:bCs/>
          <w:color w:val="auto"/>
          <w:sz w:val="24"/>
          <w:highlight w:val="none"/>
        </w:rPr>
        <w:t>一份原件具有</w:t>
      </w:r>
      <w:r>
        <w:rPr>
          <w:rFonts w:ascii="宋体" w:hAnsi="宋体"/>
          <w:b/>
          <w:bCs/>
          <w:color w:val="auto"/>
          <w:sz w:val="24"/>
          <w:highlight w:val="none"/>
        </w:rPr>
        <w:t>法定代表人签名</w:t>
      </w:r>
      <w:r>
        <w:rPr>
          <w:rFonts w:hint="eastAsia" w:ascii="宋体" w:hAnsi="宋体"/>
          <w:b/>
          <w:bCs/>
          <w:color w:val="auto"/>
          <w:sz w:val="24"/>
          <w:highlight w:val="none"/>
        </w:rPr>
        <w:t>(或盖</w:t>
      </w:r>
      <w:r>
        <w:rPr>
          <w:rFonts w:ascii="宋体" w:hAnsi="宋体"/>
          <w:b/>
          <w:bCs/>
          <w:color w:val="auto"/>
          <w:sz w:val="24"/>
          <w:highlight w:val="none"/>
        </w:rPr>
        <w:t>法定代表人</w:t>
      </w:r>
      <w:r>
        <w:rPr>
          <w:rFonts w:hint="eastAsia" w:ascii="宋体" w:hAnsi="宋体"/>
          <w:b/>
          <w:bCs/>
          <w:color w:val="auto"/>
          <w:sz w:val="24"/>
          <w:highlight w:val="none"/>
        </w:rPr>
        <w:t>私章)</w:t>
      </w:r>
      <w:r>
        <w:rPr>
          <w:rFonts w:ascii="宋体" w:hAnsi="宋体"/>
          <w:b/>
          <w:bCs/>
          <w:color w:val="auto"/>
          <w:sz w:val="24"/>
          <w:highlight w:val="none"/>
        </w:rPr>
        <w:t>并加盖单位公章。</w:t>
      </w:r>
    </w:p>
    <w:p w14:paraId="3CEF60EE">
      <w:pPr>
        <w:keepNext w:val="0"/>
        <w:keepLines w:val="0"/>
        <w:pageBreakBefore w:val="0"/>
        <w:kinsoku/>
        <w:wordWrap/>
        <w:overflowPunct/>
        <w:topLinePunct w:val="0"/>
        <w:bidi w:val="0"/>
        <w:adjustRightInd/>
        <w:snapToGrid w:val="0"/>
        <w:spacing w:line="400" w:lineRule="exact"/>
        <w:ind w:left="0" w:leftChars="0" w:firstLine="482" w:firstLineChars="200"/>
        <w:rPr>
          <w:rFonts w:hint="eastAsia" w:ascii="宋体" w:hAnsi="宋体"/>
          <w:b/>
          <w:bCs/>
          <w:color w:val="auto"/>
          <w:sz w:val="24"/>
          <w:szCs w:val="20"/>
          <w:highlight w:val="none"/>
        </w:rPr>
      </w:pPr>
      <w:r>
        <w:rPr>
          <w:rFonts w:hint="eastAsia" w:ascii="宋体" w:hAnsi="宋体"/>
          <w:b/>
          <w:bCs/>
          <w:color w:val="auto"/>
          <w:sz w:val="24"/>
          <w:szCs w:val="20"/>
          <w:highlight w:val="none"/>
        </w:rPr>
        <w:t>以上资料由投标人以扫描件电子件形式上传至系统设置的模块中，投标人必须确保提供的</w:t>
      </w:r>
      <w:r>
        <w:rPr>
          <w:rFonts w:hint="eastAsia" w:ascii="宋体" w:hAnsi="宋体"/>
          <w:b/>
          <w:bCs/>
          <w:color w:val="auto"/>
          <w:sz w:val="24"/>
          <w:szCs w:val="20"/>
          <w:highlight w:val="none"/>
          <w:lang w:val="en-US" w:eastAsia="zh-CN"/>
        </w:rPr>
        <w:t>扫描</w:t>
      </w:r>
      <w:r>
        <w:rPr>
          <w:rFonts w:hint="eastAsia" w:ascii="宋体" w:hAnsi="宋体"/>
          <w:b/>
          <w:bCs/>
          <w:color w:val="auto"/>
          <w:sz w:val="24"/>
          <w:szCs w:val="20"/>
          <w:highlight w:val="none"/>
        </w:rPr>
        <w:t>件清晰，届时若无法辨认的，由此造成的后果由投标人自行承担。投标单位必须确保投标时所提供的所有资料真实有效，一旦发现有弄虚作假行为按按相关法律法规处理。</w:t>
      </w:r>
    </w:p>
    <w:p w14:paraId="0A5EB970">
      <w:pPr>
        <w:keepNext w:val="0"/>
        <w:keepLines w:val="0"/>
        <w:pageBreakBefore w:val="0"/>
        <w:kinsoku/>
        <w:wordWrap/>
        <w:overflowPunct/>
        <w:topLinePunct w:val="0"/>
        <w:bidi w:val="0"/>
        <w:adjustRightInd/>
        <w:snapToGrid w:val="0"/>
        <w:spacing w:line="400" w:lineRule="exact"/>
        <w:ind w:left="0" w:leftChars="0" w:firstLine="482" w:firstLineChars="200"/>
        <w:rPr>
          <w:rFonts w:hint="eastAsia" w:ascii="宋体" w:hAnsi="宋体"/>
          <w:b/>
          <w:bCs/>
          <w:color w:val="auto"/>
          <w:sz w:val="24"/>
          <w:szCs w:val="20"/>
          <w:highlight w:val="none"/>
        </w:rPr>
      </w:pPr>
      <w:r>
        <w:rPr>
          <w:rFonts w:hint="eastAsia" w:ascii="宋体" w:hAnsi="宋体"/>
          <w:b/>
          <w:bCs/>
          <w:color w:val="auto"/>
          <w:sz w:val="24"/>
          <w:szCs w:val="20"/>
          <w:highlight w:val="none"/>
        </w:rPr>
        <w:t>以上内容投标人可参照具体内容进行编制，电子标制作方式详见视频教程（视频链接网址如下）</w:t>
      </w:r>
    </w:p>
    <w:p w14:paraId="7347C3D3">
      <w:pPr>
        <w:keepNext w:val="0"/>
        <w:keepLines w:val="0"/>
        <w:pageBreakBefore w:val="0"/>
        <w:kinsoku/>
        <w:wordWrap/>
        <w:overflowPunct/>
        <w:topLinePunct w:val="0"/>
        <w:bidi w:val="0"/>
        <w:adjustRightInd/>
        <w:snapToGrid w:val="0"/>
        <w:spacing w:line="400" w:lineRule="exact"/>
        <w:ind w:left="0" w:leftChars="0" w:firstLine="482" w:firstLineChars="200"/>
        <w:rPr>
          <w:color w:val="auto"/>
          <w:highlight w:val="none"/>
        </w:rPr>
      </w:pPr>
      <w:r>
        <w:rPr>
          <w:rFonts w:hint="eastAsia" w:ascii="宋体" w:hAnsi="宋体" w:cs="宋体"/>
          <w:b/>
          <w:color w:val="auto"/>
          <w:sz w:val="24"/>
          <w:szCs w:val="20"/>
          <w:highlight w:val="none"/>
        </w:rPr>
        <w:t>http://www.hzlscgfw.cn/bszn/20240620/02c211df-faed-413f-a777-ec06fdcf8c14.htm</w:t>
      </w:r>
      <w:r>
        <w:rPr>
          <w:rFonts w:hint="eastAsia" w:ascii="宋体" w:hAnsi="宋体"/>
          <w:b/>
          <w:bCs/>
          <w:color w:val="auto"/>
          <w:sz w:val="24"/>
          <w:szCs w:val="20"/>
          <w:highlight w:val="none"/>
        </w:rPr>
        <w:t>l</w:t>
      </w:r>
    </w:p>
    <w:p w14:paraId="4CA2E9EA">
      <w:pPr>
        <w:keepNext w:val="0"/>
        <w:keepLines w:val="0"/>
        <w:pageBreakBefore w:val="0"/>
        <w:kinsoku/>
        <w:wordWrap/>
        <w:overflowPunct/>
        <w:topLinePunct w:val="0"/>
        <w:bidi w:val="0"/>
        <w:adjustRightInd/>
        <w:spacing w:line="400" w:lineRule="exact"/>
        <w:ind w:left="0" w:leftChars="0" w:firstLine="482" w:firstLineChars="200"/>
        <w:rPr>
          <w:rFonts w:hint="eastAsia" w:ascii="宋体" w:hAnsi="宋体"/>
          <w:b/>
          <w:color w:val="auto"/>
          <w:sz w:val="24"/>
          <w:szCs w:val="20"/>
          <w:highlight w:val="none"/>
        </w:rPr>
      </w:pPr>
      <w:r>
        <w:rPr>
          <w:rFonts w:hint="eastAsia" w:ascii="宋体" w:hAnsi="宋体"/>
          <w:b/>
          <w:color w:val="auto"/>
          <w:sz w:val="24"/>
          <w:szCs w:val="20"/>
          <w:highlight w:val="none"/>
        </w:rPr>
        <w:t>（二）投标文件的语言及计量</w:t>
      </w:r>
    </w:p>
    <w:p w14:paraId="5028BDC3">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w:t>
      </w:r>
      <w:r>
        <w:rPr>
          <w:rFonts w:ascii="宋体" w:hAnsi="宋体"/>
          <w:color w:val="auto"/>
          <w:sz w:val="24"/>
          <w:szCs w:val="20"/>
          <w:highlight w:val="none"/>
        </w:rPr>
        <w:t>1</w:t>
      </w:r>
      <w:r>
        <w:rPr>
          <w:rFonts w:hint="eastAsia" w:ascii="宋体" w:hAnsi="宋体"/>
          <w:color w:val="auto"/>
          <w:sz w:val="24"/>
          <w:szCs w:val="20"/>
          <w:highlight w:val="none"/>
        </w:rPr>
        <w:t>.</w:t>
      </w:r>
      <w:r>
        <w:rPr>
          <w:rFonts w:ascii="宋体" w:hAnsi="宋体"/>
          <w:color w:val="auto"/>
          <w:sz w:val="24"/>
          <w:szCs w:val="20"/>
          <w:highlight w:val="none"/>
        </w:rPr>
        <w:t>投标文件以及投标方与招标方就有关投标事宜的所有来往函电，均应以中文汉语书写。除签名、盖章、专用名称等特殊情形外，以中文汉语以外的文字表述的投标文件视同未提供。</w:t>
      </w:r>
    </w:p>
    <w:p w14:paraId="12016D48">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w:t>
      </w:r>
      <w:r>
        <w:rPr>
          <w:rFonts w:ascii="宋体" w:hAnsi="宋体"/>
          <w:color w:val="auto"/>
          <w:sz w:val="24"/>
          <w:szCs w:val="20"/>
          <w:highlight w:val="none"/>
        </w:rPr>
        <w:t>2</w:t>
      </w:r>
      <w:r>
        <w:rPr>
          <w:rFonts w:hint="eastAsia" w:ascii="宋体" w:hAnsi="宋体"/>
          <w:color w:val="auto"/>
          <w:sz w:val="24"/>
          <w:szCs w:val="20"/>
          <w:highlight w:val="none"/>
        </w:rPr>
        <w:t>.</w:t>
      </w:r>
      <w:r>
        <w:rPr>
          <w:rFonts w:ascii="宋体" w:hAnsi="宋体"/>
          <w:color w:val="auto"/>
          <w:sz w:val="24"/>
          <w:szCs w:val="20"/>
          <w:highlight w:val="none"/>
        </w:rPr>
        <w:t>投标计量单位，采购文件已有明确规定的，使用采购文件规定的计量单位</w:t>
      </w:r>
      <w:r>
        <w:rPr>
          <w:rFonts w:hint="eastAsia" w:ascii="宋体" w:hAnsi="宋体"/>
          <w:color w:val="auto"/>
          <w:sz w:val="24"/>
          <w:szCs w:val="20"/>
          <w:highlight w:val="none"/>
        </w:rPr>
        <w:t>。</w:t>
      </w:r>
      <w:r>
        <w:rPr>
          <w:rFonts w:ascii="宋体" w:hAnsi="宋体"/>
          <w:color w:val="auto"/>
          <w:sz w:val="24"/>
          <w:szCs w:val="20"/>
          <w:highlight w:val="none"/>
        </w:rPr>
        <w:t>采购文件没有规定的，应采用中华人民共和国法定计量单位（货币单位：人民币元），否则视同未响应。</w:t>
      </w:r>
    </w:p>
    <w:p w14:paraId="1533A3D0">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（三）投标报价</w:t>
      </w:r>
    </w:p>
    <w:p w14:paraId="27C73257">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w:t>
      </w:r>
      <w:r>
        <w:rPr>
          <w:rFonts w:ascii="宋体" w:hAnsi="宋体"/>
          <w:color w:val="auto"/>
          <w:sz w:val="24"/>
          <w:highlight w:val="none"/>
        </w:rPr>
        <w:t>投标报价应按采购文件中相关附表格式填写。</w:t>
      </w:r>
    </w:p>
    <w:p w14:paraId="452E0FA8">
      <w:pPr>
        <w:keepNext w:val="0"/>
        <w:keepLines w:val="0"/>
        <w:pageBreakBefore w:val="0"/>
        <w:kinsoku/>
        <w:wordWrap/>
        <w:overflowPunct/>
        <w:topLinePunct w:val="0"/>
        <w:bidi w:val="0"/>
        <w:adjustRightInd/>
        <w:spacing w:line="400" w:lineRule="exact"/>
        <w:ind w:left="0" w:leftChars="0" w:firstLine="450" w:firstLineChars="150"/>
        <w:rPr>
          <w:rFonts w:hint="eastAsia" w:ascii="宋体" w:hAnsi="宋体"/>
          <w:b/>
          <w:color w:val="auto"/>
          <w:sz w:val="24"/>
          <w:szCs w:val="20"/>
          <w:highlight w:val="none"/>
        </w:rPr>
      </w:pPr>
      <w:r>
        <w:rPr>
          <w:rFonts w:hint="eastAsia" w:ascii="宋体" w:hAnsi="宋体" w:cs="宋体"/>
          <w:color w:val="auto"/>
          <w:sz w:val="30"/>
          <w:szCs w:val="20"/>
          <w:highlight w:val="none"/>
        </w:rPr>
        <w:t>▲</w:t>
      </w:r>
      <w:r>
        <w:rPr>
          <w:rFonts w:ascii="宋体" w:hAnsi="宋体"/>
          <w:color w:val="auto"/>
          <w:sz w:val="24"/>
          <w:highlight w:val="none"/>
        </w:rPr>
        <w:t>2</w:t>
      </w:r>
      <w:r>
        <w:rPr>
          <w:rFonts w:hint="eastAsia" w:ascii="宋体" w:hAnsi="宋体"/>
          <w:color w:val="auto"/>
          <w:sz w:val="24"/>
          <w:highlight w:val="none"/>
        </w:rPr>
        <w:t>.</w:t>
      </w:r>
      <w:r>
        <w:rPr>
          <w:rFonts w:hint="eastAsia" w:ascii="宋体" w:hAnsi="宋体"/>
          <w:b/>
          <w:color w:val="auto"/>
          <w:sz w:val="24"/>
          <w:szCs w:val="20"/>
          <w:highlight w:val="none"/>
        </w:rPr>
        <w:t>投标报价是履行合同的最终价格（采购文件约定的可调整情况除外），须包括项目实施所需的人工费、设备购置费、验收费、</w:t>
      </w:r>
      <w:r>
        <w:rPr>
          <w:rFonts w:hint="eastAsia" w:ascii="宋体" w:hAnsi="宋体"/>
          <w:b/>
          <w:color w:val="auto"/>
          <w:sz w:val="24"/>
          <w:szCs w:val="20"/>
          <w:highlight w:val="none"/>
          <w:lang w:val="en-US" w:eastAsia="zh-CN"/>
        </w:rPr>
        <w:t>检测费、维保费、</w:t>
      </w:r>
      <w:r>
        <w:rPr>
          <w:rFonts w:hint="eastAsia" w:ascii="宋体" w:hAnsi="宋体"/>
          <w:b/>
          <w:color w:val="auto"/>
          <w:sz w:val="24"/>
          <w:szCs w:val="20"/>
          <w:highlight w:val="none"/>
        </w:rPr>
        <w:t>税金、利润管理费、技术支持与培训费等完成采购项目所需的所有费用的总和，应为履行合同的最终价格，其市场风险由投标单位承担。投标报价为投标单位所能承受的最低、最终一次性报价。采购清单或报价明细表如有漏项，视同漏项内容已包含在其投标报价中，后期不做调整。在评审小组审查时，若该供应商不同意漏项内容已包含在其总报价中，并认为其合同总价需作调整的，则该供应商的投标文件将被认定为没有实质性响应采购文件需求，其投标文件将被作为无效文件。</w:t>
      </w:r>
    </w:p>
    <w:p w14:paraId="0A4DBE31">
      <w:pPr>
        <w:keepNext w:val="0"/>
        <w:keepLines w:val="0"/>
        <w:pageBreakBefore w:val="0"/>
        <w:tabs>
          <w:tab w:val="left" w:pos="525"/>
        </w:tabs>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w:t>
      </w:r>
      <w:r>
        <w:rPr>
          <w:rFonts w:ascii="宋体" w:hAnsi="宋体"/>
          <w:color w:val="auto"/>
          <w:sz w:val="24"/>
          <w:szCs w:val="20"/>
          <w:highlight w:val="none"/>
        </w:rPr>
        <w:t>3</w:t>
      </w:r>
      <w:r>
        <w:rPr>
          <w:rFonts w:hint="eastAsia" w:ascii="宋体" w:hAnsi="宋体"/>
          <w:color w:val="auto"/>
          <w:sz w:val="24"/>
          <w:szCs w:val="20"/>
          <w:highlight w:val="none"/>
        </w:rPr>
        <w:t>.</w:t>
      </w:r>
      <w:r>
        <w:rPr>
          <w:rFonts w:ascii="宋体" w:hAnsi="宋体"/>
          <w:color w:val="auto"/>
          <w:sz w:val="24"/>
          <w:szCs w:val="20"/>
          <w:highlight w:val="none"/>
        </w:rPr>
        <w:t>投标文件只允许有一个报价，有选择的</w:t>
      </w:r>
      <w:r>
        <w:rPr>
          <w:rFonts w:hint="eastAsia" w:ascii="宋体" w:hAnsi="宋体"/>
          <w:color w:val="auto"/>
          <w:sz w:val="24"/>
          <w:szCs w:val="20"/>
          <w:highlight w:val="none"/>
        </w:rPr>
        <w:t>或有条件的</w:t>
      </w:r>
      <w:r>
        <w:rPr>
          <w:rFonts w:ascii="宋体" w:hAnsi="宋体"/>
          <w:color w:val="auto"/>
          <w:sz w:val="24"/>
          <w:szCs w:val="20"/>
          <w:highlight w:val="none"/>
        </w:rPr>
        <w:t>报价将不予接受。</w:t>
      </w:r>
    </w:p>
    <w:p w14:paraId="1157F1EC">
      <w:pPr>
        <w:keepNext w:val="0"/>
        <w:keepLines w:val="0"/>
        <w:pageBreakBefore w:val="0"/>
        <w:tabs>
          <w:tab w:val="left" w:pos="525"/>
        </w:tabs>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▲4.投标人对同一投标货物不得同时出现可选择性品牌和一个品牌中的可选择性型号。</w:t>
      </w:r>
    </w:p>
    <w:p w14:paraId="6A1EF309">
      <w:pPr>
        <w:keepNext w:val="0"/>
        <w:keepLines w:val="0"/>
        <w:pageBreakBefore w:val="0"/>
        <w:tabs>
          <w:tab w:val="left" w:pos="525"/>
        </w:tabs>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5.投标文件中的单价、合价、总价全部采用人民币表示。</w:t>
      </w:r>
    </w:p>
    <w:p w14:paraId="535FAAD7">
      <w:pPr>
        <w:keepNext w:val="0"/>
        <w:keepLines w:val="0"/>
        <w:pageBreakBefore w:val="0"/>
        <w:tabs>
          <w:tab w:val="left" w:pos="454"/>
          <w:tab w:val="left" w:pos="720"/>
        </w:tabs>
        <w:kinsoku/>
        <w:wordWrap/>
        <w:overflowPunct/>
        <w:topLinePunct w:val="0"/>
        <w:bidi w:val="0"/>
        <w:adjustRightInd/>
        <w:snapToGrid w:val="0"/>
        <w:spacing w:line="400" w:lineRule="exact"/>
        <w:ind w:left="0" w:leftChars="0" w:firstLine="472" w:firstLineChars="196"/>
        <w:jc w:val="left"/>
        <w:rPr>
          <w:rFonts w:hint="eastAsia" w:ascii="宋体" w:hAnsi="宋体"/>
          <w:b/>
          <w:color w:val="auto"/>
          <w:kern w:val="0"/>
          <w:sz w:val="24"/>
          <w:highlight w:val="none"/>
        </w:rPr>
      </w:pPr>
      <w:r>
        <w:rPr>
          <w:rFonts w:hint="eastAsia" w:ascii="宋体" w:hAnsi="宋体"/>
          <w:b/>
          <w:color w:val="auto"/>
          <w:kern w:val="0"/>
          <w:sz w:val="24"/>
          <w:highlight w:val="none"/>
        </w:rPr>
        <w:t>（四）投标文件的有效期</w:t>
      </w:r>
    </w:p>
    <w:p w14:paraId="3AE67D96">
      <w:pPr>
        <w:keepNext w:val="0"/>
        <w:keepLines w:val="0"/>
        <w:pageBreakBefore w:val="0"/>
        <w:tabs>
          <w:tab w:val="left" w:pos="454"/>
          <w:tab w:val="left" w:pos="720"/>
        </w:tabs>
        <w:kinsoku/>
        <w:wordWrap/>
        <w:overflowPunct/>
        <w:topLinePunct w:val="0"/>
        <w:bidi w:val="0"/>
        <w:adjustRightInd/>
        <w:snapToGrid w:val="0"/>
        <w:spacing w:line="400" w:lineRule="exact"/>
        <w:ind w:left="0" w:leftChars="0" w:firstLine="480" w:firstLineChars="200"/>
        <w:jc w:val="left"/>
        <w:rPr>
          <w:rFonts w:hint="eastAsia"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1</w:t>
      </w:r>
      <w:r>
        <w:rPr>
          <w:rFonts w:hint="eastAsia" w:ascii="宋体" w:hAnsi="宋体"/>
          <w:color w:val="auto"/>
          <w:kern w:val="0"/>
          <w:sz w:val="24"/>
          <w:highlight w:val="none"/>
        </w:rPr>
        <w:t>.</w:t>
      </w:r>
      <w:r>
        <w:rPr>
          <w:rFonts w:ascii="宋体" w:hAnsi="宋体"/>
          <w:color w:val="auto"/>
          <w:kern w:val="0"/>
          <w:sz w:val="24"/>
          <w:highlight w:val="none"/>
        </w:rPr>
        <w:t>自投标截止日起</w:t>
      </w:r>
      <w:r>
        <w:rPr>
          <w:rFonts w:hint="eastAsia" w:ascii="宋体" w:hAnsi="宋体"/>
          <w:color w:val="auto"/>
          <w:kern w:val="0"/>
          <w:sz w:val="24"/>
          <w:highlight w:val="none"/>
          <w:u w:val="single"/>
        </w:rPr>
        <w:t>120</w:t>
      </w:r>
      <w:r>
        <w:rPr>
          <w:rFonts w:hint="eastAsia" w:ascii="宋体" w:hAnsi="宋体"/>
          <w:color w:val="auto"/>
          <w:kern w:val="0"/>
          <w:sz w:val="24"/>
          <w:highlight w:val="none"/>
        </w:rPr>
        <w:t>日历</w:t>
      </w:r>
      <w:r>
        <w:rPr>
          <w:rFonts w:ascii="宋体" w:hAnsi="宋体"/>
          <w:color w:val="auto"/>
          <w:kern w:val="0"/>
          <w:sz w:val="24"/>
          <w:highlight w:val="none"/>
        </w:rPr>
        <w:t>天投标</w:t>
      </w:r>
      <w:r>
        <w:rPr>
          <w:rFonts w:hint="eastAsia" w:ascii="宋体" w:hAnsi="宋体"/>
          <w:color w:val="auto"/>
          <w:kern w:val="0"/>
          <w:sz w:val="24"/>
          <w:highlight w:val="none"/>
        </w:rPr>
        <w:t>文件</w:t>
      </w:r>
      <w:r>
        <w:rPr>
          <w:rFonts w:ascii="宋体" w:hAnsi="宋体"/>
          <w:color w:val="auto"/>
          <w:kern w:val="0"/>
          <w:sz w:val="24"/>
          <w:highlight w:val="none"/>
        </w:rPr>
        <w:t>应保持有效。有效期</w:t>
      </w:r>
      <w:r>
        <w:rPr>
          <w:rFonts w:hint="eastAsia" w:ascii="宋体" w:hAnsi="宋体"/>
          <w:color w:val="auto"/>
          <w:kern w:val="0"/>
          <w:sz w:val="24"/>
          <w:highlight w:val="none"/>
        </w:rPr>
        <w:t>不足</w:t>
      </w:r>
      <w:r>
        <w:rPr>
          <w:rFonts w:ascii="宋体" w:hAnsi="宋体"/>
          <w:color w:val="auto"/>
          <w:kern w:val="0"/>
          <w:sz w:val="24"/>
          <w:highlight w:val="none"/>
        </w:rPr>
        <w:t>的投标</w:t>
      </w:r>
      <w:r>
        <w:rPr>
          <w:rFonts w:hint="eastAsia" w:ascii="宋体" w:hAnsi="宋体"/>
          <w:color w:val="auto"/>
          <w:kern w:val="0"/>
          <w:sz w:val="24"/>
          <w:highlight w:val="none"/>
        </w:rPr>
        <w:t>文件</w:t>
      </w:r>
      <w:r>
        <w:rPr>
          <w:rFonts w:ascii="宋体" w:hAnsi="宋体"/>
          <w:color w:val="auto"/>
          <w:kern w:val="0"/>
          <w:sz w:val="24"/>
          <w:highlight w:val="none"/>
        </w:rPr>
        <w:t>将被拒绝。</w:t>
      </w:r>
    </w:p>
    <w:p w14:paraId="6D85A6C6">
      <w:pPr>
        <w:keepNext w:val="0"/>
        <w:keepLines w:val="0"/>
        <w:pageBreakBefore w:val="0"/>
        <w:tabs>
          <w:tab w:val="left" w:pos="454"/>
          <w:tab w:val="left" w:pos="720"/>
        </w:tabs>
        <w:kinsoku/>
        <w:wordWrap/>
        <w:overflowPunct/>
        <w:topLinePunct w:val="0"/>
        <w:bidi w:val="0"/>
        <w:adjustRightInd/>
        <w:snapToGrid w:val="0"/>
        <w:spacing w:line="400" w:lineRule="exact"/>
        <w:ind w:left="0" w:leftChars="0" w:firstLine="480" w:firstLineChars="200"/>
        <w:jc w:val="left"/>
        <w:rPr>
          <w:rFonts w:hint="eastAsia"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w:t>
      </w:r>
      <w:r>
        <w:rPr>
          <w:rFonts w:ascii="宋体" w:hAnsi="宋体"/>
          <w:color w:val="auto"/>
          <w:kern w:val="0"/>
          <w:sz w:val="24"/>
          <w:highlight w:val="none"/>
        </w:rPr>
        <w:t>在特殊情况下，招标人可与投标人协商延长投标书的有效期，这种要求和答复均以书面形式进行。</w:t>
      </w:r>
    </w:p>
    <w:p w14:paraId="315D9B9C">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b/>
          <w:color w:val="auto"/>
          <w:sz w:val="24"/>
          <w:szCs w:val="20"/>
          <w:highlight w:val="none"/>
        </w:rPr>
      </w:pPr>
      <w:r>
        <w:rPr>
          <w:rFonts w:hint="eastAsia" w:ascii="宋体" w:hAnsi="宋体"/>
          <w:color w:val="auto"/>
          <w:sz w:val="24"/>
          <w:szCs w:val="20"/>
          <w:highlight w:val="none"/>
        </w:rPr>
        <w:t>3.</w:t>
      </w:r>
      <w:r>
        <w:rPr>
          <w:rFonts w:ascii="宋体" w:hAnsi="宋体"/>
          <w:color w:val="auto"/>
          <w:sz w:val="24"/>
          <w:szCs w:val="20"/>
          <w:highlight w:val="none"/>
        </w:rPr>
        <w:t>投标人可拒绝接受延期要求而不会导致投标保证金被没收。同意延长有效期的投标人需要相应延长投标保证金的有效期，但不能修改投标文件。</w:t>
      </w:r>
    </w:p>
    <w:p w14:paraId="22FC0E2D">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b/>
          <w:color w:val="auto"/>
          <w:sz w:val="24"/>
          <w:szCs w:val="20"/>
          <w:highlight w:val="none"/>
        </w:rPr>
      </w:pPr>
      <w:r>
        <w:rPr>
          <w:rFonts w:hint="eastAsia" w:ascii="宋体" w:hAnsi="宋体"/>
          <w:color w:val="auto"/>
          <w:sz w:val="24"/>
          <w:szCs w:val="20"/>
          <w:highlight w:val="none"/>
        </w:rPr>
        <w:t>4.</w:t>
      </w:r>
      <w:r>
        <w:rPr>
          <w:rFonts w:ascii="宋体" w:hAnsi="宋体"/>
          <w:color w:val="auto"/>
          <w:sz w:val="24"/>
          <w:szCs w:val="20"/>
          <w:highlight w:val="none"/>
        </w:rPr>
        <w:t>中标人的投标文件自开标之日起至合同履行完毕止均应保持有效。</w:t>
      </w:r>
    </w:p>
    <w:p w14:paraId="48503021">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（五）投标保证金：</w:t>
      </w:r>
    </w:p>
    <w:p w14:paraId="09FA278F">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▲1.投标方须按采购文件规定的时间和形式提交投标保证金。否则，其投标将被拒绝。</w:t>
      </w:r>
    </w:p>
    <w:p w14:paraId="7BBD7ADD">
      <w:pPr>
        <w:keepNext w:val="0"/>
        <w:keepLines w:val="0"/>
        <w:pageBreakBefore w:val="0"/>
        <w:widowControl w:val="0"/>
        <w:numPr>
          <w:ilvl w:val="0"/>
          <w:numId w:val="0"/>
        </w:numPr>
        <w:kinsoku/>
        <w:wordWrap/>
        <w:overflowPunct/>
        <w:topLinePunct w:val="0"/>
        <w:autoSpaceDE/>
        <w:autoSpaceDN/>
        <w:bidi w:val="0"/>
        <w:adjustRightInd/>
        <w:snapToGrid w:val="0"/>
        <w:spacing w:line="360" w:lineRule="exact"/>
        <w:ind w:left="0" w:leftChars="0" w:firstLine="470" w:firstLineChars="196"/>
        <w:jc w:val="left"/>
        <w:textAlignment w:val="auto"/>
        <w:outlineLvl w:val="0"/>
        <w:rPr>
          <w:rFonts w:hint="eastAsia" w:ascii="宋体" w:hAnsi="宋体"/>
          <w:b w:val="0"/>
          <w:bCs/>
          <w:color w:val="auto"/>
          <w:sz w:val="24"/>
          <w:szCs w:val="24"/>
          <w:highlight w:val="none"/>
        </w:rPr>
      </w:pPr>
      <w:r>
        <w:rPr>
          <w:rFonts w:hint="eastAsia" w:ascii="宋体" w:hAnsi="宋体"/>
          <w:b w:val="0"/>
          <w:bCs/>
          <w:color w:val="auto"/>
          <w:kern w:val="2"/>
          <w:sz w:val="24"/>
          <w:szCs w:val="24"/>
          <w:highlight w:val="none"/>
          <w:lang w:val="en-US" w:eastAsia="zh-CN" w:bidi="ar-SA"/>
        </w:rPr>
        <w:t>2.</w:t>
      </w:r>
      <w:r>
        <w:rPr>
          <w:rFonts w:hint="eastAsia" w:ascii="宋体" w:hAnsi="宋体"/>
          <w:b w:val="0"/>
          <w:bCs/>
          <w:color w:val="auto"/>
          <w:sz w:val="24"/>
          <w:szCs w:val="24"/>
          <w:highlight w:val="none"/>
        </w:rPr>
        <w:t>保证金形式：网银或电汇或电子保函（☑关联 □不关联）</w:t>
      </w:r>
    </w:p>
    <w:p w14:paraId="1CEB2B4B">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3.未中标的投标方的保证金，在中标通知书签发后的5个工作日内退还</w:t>
      </w:r>
      <w:r>
        <w:rPr>
          <w:rFonts w:hint="eastAsia" w:ascii="宋体" w:hAnsi="宋体"/>
          <w:b w:val="0"/>
          <w:bCs/>
          <w:color w:val="auto"/>
          <w:sz w:val="24"/>
          <w:szCs w:val="24"/>
          <w:highlight w:val="none"/>
        </w:rPr>
        <w:t>（电子保函除外）</w:t>
      </w:r>
      <w:r>
        <w:rPr>
          <w:rFonts w:hint="eastAsia" w:ascii="宋体" w:hAnsi="宋体"/>
          <w:b w:val="0"/>
          <w:bCs/>
          <w:color w:val="auto"/>
          <w:sz w:val="24"/>
          <w:szCs w:val="20"/>
          <w:highlight w:val="none"/>
        </w:rPr>
        <w:t>。</w:t>
      </w:r>
    </w:p>
    <w:p w14:paraId="0BC74C6D">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4.中标人签订合同后，由代理公司在湖州市绿色采购服务平台上发起，按保证金代退程序要求退还中标单位的投标保证金</w:t>
      </w:r>
      <w:r>
        <w:rPr>
          <w:rFonts w:hint="eastAsia" w:ascii="宋体" w:hAnsi="宋体"/>
          <w:b w:val="0"/>
          <w:bCs/>
          <w:color w:val="auto"/>
          <w:sz w:val="24"/>
          <w:szCs w:val="24"/>
          <w:highlight w:val="none"/>
        </w:rPr>
        <w:t>（电子保函除外）</w:t>
      </w:r>
      <w:r>
        <w:rPr>
          <w:rFonts w:hint="eastAsia" w:ascii="宋体" w:hAnsi="宋体"/>
          <w:b w:val="0"/>
          <w:bCs/>
          <w:color w:val="auto"/>
          <w:sz w:val="24"/>
          <w:szCs w:val="20"/>
          <w:highlight w:val="none"/>
        </w:rPr>
        <w:t>。</w:t>
      </w:r>
    </w:p>
    <w:p w14:paraId="69B9FE48">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5.▲投标保证金在湖州市绿色采购服务平台上发起退还。</w:t>
      </w:r>
    </w:p>
    <w:p w14:paraId="3C2412A2">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6.投标人有下列情形之一的，投标保证金将不予退还：</w:t>
      </w:r>
    </w:p>
    <w:p w14:paraId="46003435">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（1）投标人在投标有效期内无故撤销投标文件的；</w:t>
      </w:r>
    </w:p>
    <w:p w14:paraId="6497F53F">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（2）未按规定提交履约保证金的（如有）；</w:t>
      </w:r>
    </w:p>
    <w:p w14:paraId="79B2A489">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（3）投标人在投标过程中弄虚作假，提供虚假材料的；</w:t>
      </w:r>
    </w:p>
    <w:p w14:paraId="0215DC2C">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（4）除不可抗力外，供应商在定标后领取中标通知书前恶意弃标（或无故撤销投标文件）或拒绝在中标通知书规定期限内签订合同的，不仅保证金不予退还，还要赔偿</w:t>
      </w:r>
      <w:r>
        <w:rPr>
          <w:rFonts w:hint="eastAsia" w:ascii="宋体" w:hAnsi="宋体"/>
          <w:b w:val="0"/>
          <w:bCs/>
          <w:color w:val="auto"/>
          <w:sz w:val="24"/>
          <w:szCs w:val="20"/>
          <w:highlight w:val="none"/>
          <w:lang w:val="en-US" w:eastAsia="zh-CN"/>
        </w:rPr>
        <w:t>采购人所有损失</w:t>
      </w:r>
      <w:r>
        <w:rPr>
          <w:rFonts w:hint="eastAsia" w:ascii="宋体" w:hAnsi="宋体"/>
          <w:b w:val="0"/>
          <w:bCs/>
          <w:color w:val="auto"/>
          <w:sz w:val="24"/>
          <w:szCs w:val="20"/>
          <w:highlight w:val="none"/>
        </w:rPr>
        <w:t>，同时不得再参加本项目重新组织的采购活动；</w:t>
      </w:r>
    </w:p>
    <w:p w14:paraId="56434661">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（5）将中标项目转让给他人或者在投标文件中未说明且未经采购单位同意，将中标项目分包给他人的；</w:t>
      </w:r>
    </w:p>
    <w:p w14:paraId="65564B9E">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（6）拒绝履行合同义务的；</w:t>
      </w:r>
    </w:p>
    <w:p w14:paraId="5587B8A9">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（7）其他严重扰乱招投标程序的；</w:t>
      </w:r>
    </w:p>
    <w:p w14:paraId="3E726B5C">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 xml:space="preserve">（8）法律法规规定的其他情形。 </w:t>
      </w:r>
    </w:p>
    <w:p w14:paraId="1CE44D9D">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（六）投标文件的编制</w:t>
      </w:r>
    </w:p>
    <w:p w14:paraId="6018D132">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1.投标人如确需报名此项目，需经登录湖州市绿色采购服务平台（http://www.hzlscgfw.cn/）—“供应商登录”，下载获取后缀名为“HZCQZF”的交易文件（即本项目招标文件）。</w:t>
      </w:r>
    </w:p>
    <w:p w14:paraId="3BC8301E">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 xml:space="preserve">2 </w:t>
      </w:r>
      <w:r>
        <w:rPr>
          <w:rFonts w:hint="eastAsia" w:ascii="宋体" w:hAnsi="宋体"/>
          <w:color w:val="auto"/>
          <w:sz w:val="24"/>
          <w:szCs w:val="20"/>
          <w:highlight w:val="none"/>
          <w:lang w:val="en-US" w:eastAsia="zh-CN"/>
        </w:rPr>
        <w:t>.</w:t>
      </w:r>
      <w:r>
        <w:rPr>
          <w:rFonts w:hint="eastAsia" w:ascii="宋体" w:hAnsi="宋体"/>
          <w:color w:val="auto"/>
          <w:sz w:val="24"/>
          <w:szCs w:val="20"/>
          <w:highlight w:val="none"/>
        </w:rPr>
        <w:t>CA加密电子投标文件应按第六章“投标文件格式”进行编写，如有必要，可以增加附页，作为投标文件的组成部分。</w:t>
      </w:r>
    </w:p>
    <w:p w14:paraId="16436796">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3.CA加密电子投标文件应当对招标文件有关合同期限、投标有效期、招标范围等实质性内容作出响应。</w:t>
      </w:r>
    </w:p>
    <w:p w14:paraId="6B225DEA">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4</w:t>
      </w:r>
      <w:r>
        <w:rPr>
          <w:rFonts w:hint="eastAsia" w:ascii="宋体" w:hAnsi="宋体"/>
          <w:color w:val="auto"/>
          <w:sz w:val="24"/>
          <w:szCs w:val="20"/>
          <w:highlight w:val="none"/>
          <w:lang w:val="en-US" w:eastAsia="zh-CN"/>
        </w:rPr>
        <w:t>.</w:t>
      </w:r>
      <w:r>
        <w:rPr>
          <w:rFonts w:hint="eastAsia" w:ascii="宋体" w:hAnsi="宋体"/>
          <w:color w:val="auto"/>
          <w:sz w:val="24"/>
          <w:szCs w:val="20"/>
          <w:highlight w:val="none"/>
        </w:rPr>
        <w:t>CA加密电子投标文件应由投标单位进行电子签章盖章确认。</w:t>
      </w:r>
    </w:p>
    <w:p w14:paraId="3A4D1F9D">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 xml:space="preserve">5.投标人编制的 CA 加密电子投标文件，必须是使用新点投标文件制作软件最新版（系统自带更新生成的后缀名为“HZCQTF”的 CA 加密电子投标文件。未按上述要求加密和数字证书认证的投标文件，将被视为无效投标文件。 </w:t>
      </w:r>
    </w:p>
    <w:p w14:paraId="4CB31301">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6</w:t>
      </w:r>
      <w:r>
        <w:rPr>
          <w:rFonts w:hint="eastAsia" w:ascii="宋体" w:hAnsi="宋体"/>
          <w:color w:val="auto"/>
          <w:sz w:val="24"/>
          <w:szCs w:val="20"/>
          <w:highlight w:val="none"/>
          <w:lang w:val="en-US" w:eastAsia="zh-CN"/>
        </w:rPr>
        <w:t>.</w:t>
      </w:r>
      <w:r>
        <w:rPr>
          <w:rFonts w:hint="eastAsia" w:ascii="宋体" w:hAnsi="宋体"/>
          <w:color w:val="auto"/>
          <w:sz w:val="24"/>
          <w:szCs w:val="20"/>
          <w:highlight w:val="none"/>
        </w:rPr>
        <w:t>注册及标书制作工具</w:t>
      </w:r>
    </w:p>
    <w:p w14:paraId="0C510E53">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注册及标书制作工具相关下载地址：http://www.hzlscgfw.cn/xzzx/sec.html</w:t>
      </w:r>
    </w:p>
    <w:p w14:paraId="3EE184DE">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lang w:val="en-US" w:eastAsia="zh-CN"/>
        </w:rPr>
        <w:t>7</w:t>
      </w:r>
      <w:r>
        <w:rPr>
          <w:rFonts w:hint="eastAsia" w:ascii="宋体" w:hAnsi="宋体"/>
          <w:color w:val="auto"/>
          <w:sz w:val="24"/>
          <w:szCs w:val="20"/>
          <w:highlight w:val="none"/>
        </w:rPr>
        <w:t>.电子投标流程如下：</w:t>
      </w:r>
    </w:p>
    <w:p w14:paraId="31322B85">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s="宋体"/>
          <w:color w:val="auto"/>
          <w:sz w:val="24"/>
          <w:szCs w:val="24"/>
          <w:highlight w:val="none"/>
        </w:rPr>
        <w:t>供应商登录→下载招标文件(如果有答疑澄清文件，需要下载答疑澄清文件进行制作)→使用电子投标文件制作工具制作投标文件→点击“在投标制作工具中模拟解密”按钮→提示解密成功→系统完善投标信息→上传投标文件</w:t>
      </w:r>
      <w:r>
        <w:rPr>
          <w:rFonts w:hint="eastAsia" w:ascii="宋体" w:hAnsi="宋体"/>
          <w:color w:val="auto"/>
          <w:sz w:val="24"/>
          <w:szCs w:val="20"/>
          <w:highlight w:val="none"/>
        </w:rPr>
        <w:t>。</w:t>
      </w:r>
    </w:p>
    <w:p w14:paraId="2A661883">
      <w:pPr>
        <w:keepNext w:val="0"/>
        <w:keepLines w:val="0"/>
        <w:pageBreakBefore w:val="0"/>
        <w:kinsoku/>
        <w:wordWrap/>
        <w:overflowPunct/>
        <w:topLinePunct w:val="0"/>
        <w:bidi w:val="0"/>
        <w:adjustRightInd/>
        <w:snapToGrid w:val="0"/>
        <w:spacing w:line="400" w:lineRule="exact"/>
        <w:ind w:left="0" w:leftChars="0" w:firstLine="482" w:firstLineChars="200"/>
        <w:jc w:val="left"/>
        <w:rPr>
          <w:rFonts w:hint="eastAsia" w:ascii="宋体" w:hAnsi="宋体"/>
          <w:b/>
          <w:color w:val="auto"/>
          <w:sz w:val="24"/>
          <w:szCs w:val="20"/>
          <w:highlight w:val="none"/>
        </w:rPr>
      </w:pPr>
      <w:r>
        <w:rPr>
          <w:rFonts w:hint="eastAsia" w:ascii="宋体" w:hAnsi="宋体"/>
          <w:b/>
          <w:color w:val="auto"/>
          <w:sz w:val="24"/>
          <w:szCs w:val="20"/>
          <w:highlight w:val="none"/>
        </w:rPr>
        <w:t>（七）投标文件的编制、签署</w:t>
      </w:r>
    </w:p>
    <w:p w14:paraId="436C16DA">
      <w:pPr>
        <w:keepNext w:val="0"/>
        <w:keepLines w:val="0"/>
        <w:pageBreakBefore w:val="0"/>
        <w:kinsoku/>
        <w:wordWrap/>
        <w:overflowPunct/>
        <w:topLinePunct w:val="0"/>
        <w:bidi w:val="0"/>
        <w:adjustRightInd/>
        <w:snapToGrid w:val="0"/>
        <w:spacing w:line="400" w:lineRule="exact"/>
        <w:ind w:left="0" w:leftChars="0" w:firstLine="420"/>
        <w:jc w:val="left"/>
        <w:rPr>
          <w:rFonts w:hint="eastAsia" w:ascii="宋体" w:hAnsi="宋体"/>
          <w:b/>
          <w:color w:val="auto"/>
          <w:sz w:val="24"/>
          <w:szCs w:val="20"/>
          <w:highlight w:val="none"/>
        </w:rPr>
      </w:pPr>
      <w:r>
        <w:rPr>
          <w:rFonts w:hint="eastAsia" w:ascii="宋体" w:hAnsi="宋体"/>
          <w:b/>
          <w:color w:val="auto"/>
          <w:sz w:val="24"/>
          <w:szCs w:val="20"/>
          <w:highlight w:val="none"/>
        </w:rPr>
        <w:t>1.投标文件（CA加密后的电子投标文件）：在投标截止时间前登录湖州市绿色采购服务平台-供应商登录-“上传投标文件”模块上传。</w:t>
      </w:r>
    </w:p>
    <w:p w14:paraId="5AEA0ED8">
      <w:pPr>
        <w:keepNext w:val="0"/>
        <w:keepLines w:val="0"/>
        <w:pageBreakBefore w:val="0"/>
        <w:kinsoku/>
        <w:wordWrap/>
        <w:overflowPunct/>
        <w:topLinePunct w:val="0"/>
        <w:bidi w:val="0"/>
        <w:adjustRightInd/>
        <w:snapToGrid w:val="0"/>
        <w:spacing w:line="400" w:lineRule="exact"/>
        <w:ind w:left="0" w:leftChars="0" w:firstLine="420"/>
        <w:jc w:val="left"/>
        <w:rPr>
          <w:rFonts w:hint="eastAsia" w:ascii="宋体" w:hAnsi="宋体"/>
          <w:b/>
          <w:color w:val="auto"/>
          <w:sz w:val="24"/>
          <w:szCs w:val="20"/>
          <w:highlight w:val="none"/>
        </w:rPr>
      </w:pPr>
      <w:r>
        <w:rPr>
          <w:rFonts w:hint="eastAsia" w:ascii="宋体" w:hAnsi="宋体"/>
          <w:b/>
          <w:color w:val="auto"/>
          <w:sz w:val="24"/>
          <w:szCs w:val="20"/>
          <w:highlight w:val="none"/>
        </w:rPr>
        <w:t>2.CA加密电子投标文件应由投标单位进行电子签章盖章确认。</w:t>
      </w:r>
    </w:p>
    <w:p w14:paraId="5CE07ED8">
      <w:pPr>
        <w:keepNext w:val="0"/>
        <w:keepLines w:val="0"/>
        <w:pageBreakBefore w:val="0"/>
        <w:kinsoku/>
        <w:wordWrap/>
        <w:overflowPunct/>
        <w:topLinePunct w:val="0"/>
        <w:bidi w:val="0"/>
        <w:adjustRightInd/>
        <w:snapToGrid w:val="0"/>
        <w:spacing w:line="400" w:lineRule="exact"/>
        <w:ind w:left="0" w:leftChars="0" w:firstLine="420"/>
        <w:jc w:val="left"/>
        <w:rPr>
          <w:rFonts w:hint="eastAsia" w:ascii="宋体" w:hAnsi="宋体"/>
          <w:b/>
          <w:color w:val="auto"/>
          <w:sz w:val="24"/>
          <w:szCs w:val="20"/>
          <w:highlight w:val="none"/>
        </w:rPr>
      </w:pPr>
      <w:r>
        <w:rPr>
          <w:rFonts w:hint="eastAsia" w:ascii="宋体" w:hAnsi="宋体"/>
          <w:b/>
          <w:color w:val="auto"/>
          <w:sz w:val="24"/>
          <w:szCs w:val="20"/>
          <w:highlight w:val="none"/>
        </w:rPr>
        <w:t>3.投标人应按本采购文件规定的格式和顺序编制投标文件并标注页码，投标文件内容不完整、编排混乱导致投标文件被误读、漏读或者查找不到相关内容的，是投标人的责任。</w:t>
      </w:r>
    </w:p>
    <w:p w14:paraId="65B4776A">
      <w:pPr>
        <w:keepNext w:val="0"/>
        <w:keepLines w:val="0"/>
        <w:pageBreakBefore w:val="0"/>
        <w:kinsoku/>
        <w:wordWrap/>
        <w:overflowPunct/>
        <w:topLinePunct w:val="0"/>
        <w:bidi w:val="0"/>
        <w:adjustRightInd/>
        <w:snapToGrid w:val="0"/>
        <w:spacing w:line="400" w:lineRule="exact"/>
        <w:ind w:left="0" w:leftChars="0" w:firstLine="420"/>
        <w:jc w:val="left"/>
        <w:rPr>
          <w:rFonts w:hint="eastAsia" w:ascii="宋体" w:hAnsi="宋体"/>
          <w:b/>
          <w:color w:val="auto"/>
          <w:sz w:val="24"/>
          <w:szCs w:val="20"/>
          <w:highlight w:val="none"/>
        </w:rPr>
      </w:pPr>
      <w:r>
        <w:rPr>
          <w:rFonts w:hint="eastAsia" w:ascii="宋体" w:hAnsi="宋体"/>
          <w:b/>
          <w:color w:val="auto"/>
          <w:sz w:val="24"/>
          <w:szCs w:val="20"/>
          <w:highlight w:val="none"/>
        </w:rPr>
        <w:t>4.投标文件须由投标人在规定位置盖章并由法定代表人或法定代表人的授权委托人签署，投标人应写全称。</w:t>
      </w:r>
    </w:p>
    <w:p w14:paraId="3AFE4ACB">
      <w:pPr>
        <w:keepNext w:val="0"/>
        <w:keepLines w:val="0"/>
        <w:pageBreakBefore w:val="0"/>
        <w:kinsoku/>
        <w:wordWrap/>
        <w:overflowPunct/>
        <w:topLinePunct w:val="0"/>
        <w:bidi w:val="0"/>
        <w:adjustRightInd/>
        <w:snapToGrid w:val="0"/>
        <w:spacing w:line="400" w:lineRule="exact"/>
        <w:ind w:left="0" w:leftChars="0" w:firstLine="420"/>
        <w:jc w:val="left"/>
        <w:rPr>
          <w:rFonts w:hint="eastAsia" w:ascii="宋体" w:hAnsi="宋体"/>
          <w:b/>
          <w:color w:val="auto"/>
          <w:sz w:val="24"/>
          <w:szCs w:val="20"/>
          <w:highlight w:val="none"/>
        </w:rPr>
      </w:pPr>
      <w:r>
        <w:rPr>
          <w:rFonts w:hint="eastAsia" w:ascii="宋体" w:hAnsi="宋体"/>
          <w:b/>
          <w:color w:val="auto"/>
          <w:sz w:val="24"/>
          <w:szCs w:val="20"/>
          <w:highlight w:val="none"/>
        </w:rPr>
        <w:t>5.投标文件不得涂改，若有修改错漏处，须加盖单位公章或者法定代表人或授权委托人签字或盖章。投标文件因字迹潦草或表达不清所引起的后果由投标人负责。</w:t>
      </w:r>
    </w:p>
    <w:p w14:paraId="31D1BEA4">
      <w:pPr>
        <w:keepNext w:val="0"/>
        <w:keepLines w:val="0"/>
        <w:pageBreakBefore w:val="0"/>
        <w:kinsoku/>
        <w:wordWrap/>
        <w:overflowPunct/>
        <w:topLinePunct w:val="0"/>
        <w:bidi w:val="0"/>
        <w:adjustRightInd/>
        <w:snapToGrid w:val="0"/>
        <w:spacing w:line="400" w:lineRule="exact"/>
        <w:ind w:left="0" w:leftChars="0" w:firstLine="420"/>
        <w:jc w:val="left"/>
        <w:rPr>
          <w:rFonts w:hint="eastAsia" w:ascii="宋体" w:hAnsi="宋体"/>
          <w:b/>
          <w:color w:val="auto"/>
          <w:sz w:val="24"/>
          <w:szCs w:val="20"/>
          <w:highlight w:val="none"/>
        </w:rPr>
      </w:pPr>
      <w:r>
        <w:rPr>
          <w:rFonts w:hint="eastAsia" w:ascii="宋体" w:hAnsi="宋体"/>
          <w:b/>
          <w:color w:val="auto"/>
          <w:sz w:val="24"/>
          <w:szCs w:val="20"/>
          <w:highlight w:val="none"/>
        </w:rPr>
        <w:t>（八）投标文件的递交、修改和撤回</w:t>
      </w:r>
    </w:p>
    <w:p w14:paraId="677058A8">
      <w:pPr>
        <w:keepNext w:val="0"/>
        <w:keepLines w:val="0"/>
        <w:pageBreakBefore w:val="0"/>
        <w:kinsoku/>
        <w:wordWrap/>
        <w:overflowPunct/>
        <w:topLinePunct w:val="0"/>
        <w:bidi w:val="0"/>
        <w:adjustRightInd/>
        <w:snapToGrid w:val="0"/>
        <w:spacing w:line="400" w:lineRule="exact"/>
        <w:ind w:firstLine="480" w:firstLineChars="200"/>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1.投标人在投标截止时间之前，可以对已提交的投标文件进行修改或撤回。投标截止时间后，投标人不得撤回、修改投标文件。修改后重新递交的投标文件必须按本采购文件的要求签署、盖章。</w:t>
      </w:r>
    </w:p>
    <w:p w14:paraId="4A3A2C3F">
      <w:pPr>
        <w:keepNext w:val="0"/>
        <w:keepLines w:val="0"/>
        <w:pageBreakBefore w:val="0"/>
        <w:kinsoku/>
        <w:wordWrap/>
        <w:overflowPunct/>
        <w:topLinePunct w:val="0"/>
        <w:bidi w:val="0"/>
        <w:adjustRightInd/>
        <w:snapToGrid w:val="0"/>
        <w:spacing w:line="400" w:lineRule="exact"/>
        <w:ind w:firstLine="480" w:firstLineChars="200"/>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2.在投标截止时间之后递交的投标文件将被拒绝。</w:t>
      </w:r>
    </w:p>
    <w:p w14:paraId="613243A6">
      <w:pPr>
        <w:keepNext w:val="0"/>
        <w:keepLines w:val="0"/>
        <w:pageBreakBefore w:val="0"/>
        <w:kinsoku/>
        <w:wordWrap/>
        <w:overflowPunct/>
        <w:topLinePunct w:val="0"/>
        <w:bidi w:val="0"/>
        <w:adjustRightInd/>
        <w:snapToGrid w:val="0"/>
        <w:spacing w:line="400" w:lineRule="exact"/>
        <w:ind w:firstLine="480" w:firstLineChars="200"/>
        <w:rPr>
          <w:rFonts w:hint="eastAsia" w:ascii="宋体" w:hAnsi="宋体"/>
          <w:b w:val="0"/>
          <w:bCs/>
          <w:color w:val="auto"/>
          <w:sz w:val="24"/>
          <w:szCs w:val="20"/>
          <w:highlight w:val="none"/>
        </w:rPr>
      </w:pPr>
      <w:r>
        <w:rPr>
          <w:rFonts w:hint="eastAsia" w:ascii="宋体" w:hAnsi="宋体"/>
          <w:b w:val="0"/>
          <w:bCs/>
          <w:color w:val="auto"/>
          <w:sz w:val="24"/>
          <w:szCs w:val="20"/>
          <w:highlight w:val="none"/>
        </w:rPr>
        <w:t>3.未在投标截止时间前报名的投标文件将被拒绝。</w:t>
      </w:r>
    </w:p>
    <w:p w14:paraId="2FEDAD37">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color w:val="auto"/>
          <w:sz w:val="24"/>
          <w:szCs w:val="20"/>
          <w:highlight w:val="none"/>
        </w:rPr>
      </w:pPr>
      <w:r>
        <w:rPr>
          <w:rFonts w:hint="eastAsia" w:ascii="宋体" w:hAnsi="宋体"/>
          <w:b/>
          <w:color w:val="auto"/>
          <w:sz w:val="24"/>
          <w:szCs w:val="20"/>
          <w:highlight w:val="none"/>
        </w:rPr>
        <w:t>（九）投标无效的情形</w:t>
      </w:r>
    </w:p>
    <w:p w14:paraId="7AA1A62E">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bCs/>
          <w:color w:val="auto"/>
          <w:sz w:val="24"/>
          <w:szCs w:val="20"/>
          <w:highlight w:val="none"/>
        </w:rPr>
      </w:pPr>
      <w:r>
        <w:rPr>
          <w:rFonts w:hint="eastAsia" w:ascii="宋体" w:hAnsi="宋体"/>
          <w:bCs/>
          <w:color w:val="auto"/>
          <w:sz w:val="24"/>
          <w:szCs w:val="20"/>
          <w:highlight w:val="none"/>
        </w:rPr>
        <w:t>实质上没有响应采购文件要求的投标将被视为无效投标。对于投标文件中含义不明确、同类问题表述不一致或者有明显文字和计算错误的内容，评标委员会应当以书面形式要求投标人在评标结束之前作出必要的澄清、说明或者补正（可以是复印件、传真件等）。投标人的澄清、说明或者补正应当采用书面形式，并加盖公章，或者由法定代表人或其授权的代表签字。投标人的澄清、说明或者补正不得超出投标文件的范围或者改变投标文件的实质性内容，并应在中标结果公告之前查核原件。限期内不补正或经补正后仍不符合采购文件要求的，应认定其投标无效。</w:t>
      </w:r>
    </w:p>
    <w:p w14:paraId="72209BCE">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bCs/>
          <w:color w:val="auto"/>
          <w:sz w:val="24"/>
          <w:szCs w:val="20"/>
          <w:highlight w:val="none"/>
        </w:rPr>
      </w:pPr>
      <w:r>
        <w:rPr>
          <w:rFonts w:ascii="宋体" w:hAnsi="宋体"/>
          <w:b/>
          <w:bCs/>
          <w:color w:val="auto"/>
          <w:sz w:val="24"/>
          <w:szCs w:val="20"/>
          <w:highlight w:val="none"/>
        </w:rPr>
        <w:t>1</w:t>
      </w:r>
      <w:r>
        <w:rPr>
          <w:rFonts w:hint="eastAsia" w:ascii="宋体" w:hAnsi="宋体"/>
          <w:b/>
          <w:bCs/>
          <w:color w:val="auto"/>
          <w:sz w:val="24"/>
          <w:szCs w:val="20"/>
          <w:highlight w:val="none"/>
        </w:rPr>
        <w:t>.</w:t>
      </w:r>
      <w:r>
        <w:rPr>
          <w:rFonts w:ascii="宋体" w:hAnsi="宋体"/>
          <w:b/>
          <w:bCs/>
          <w:color w:val="auto"/>
          <w:sz w:val="24"/>
          <w:szCs w:val="20"/>
          <w:highlight w:val="none"/>
        </w:rPr>
        <w:t>在</w:t>
      </w:r>
      <w:r>
        <w:rPr>
          <w:rFonts w:hint="eastAsia" w:ascii="宋体" w:hAnsi="宋体"/>
          <w:b/>
          <w:bCs/>
          <w:color w:val="auto"/>
          <w:sz w:val="24"/>
          <w:szCs w:val="20"/>
          <w:highlight w:val="none"/>
        </w:rPr>
        <w:t>符合性</w:t>
      </w:r>
      <w:r>
        <w:rPr>
          <w:rFonts w:ascii="宋体" w:hAnsi="宋体"/>
          <w:b/>
          <w:bCs/>
          <w:color w:val="auto"/>
          <w:sz w:val="24"/>
          <w:szCs w:val="20"/>
          <w:highlight w:val="none"/>
        </w:rPr>
        <w:t>审查和商务评审时，如发现下列情形之一的，投标文件将被视为无效：</w:t>
      </w:r>
    </w:p>
    <w:p w14:paraId="3D243AC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（1）未按采购文件规定交纳投标保证金的（如有）；</w:t>
      </w:r>
    </w:p>
    <w:p w14:paraId="3897F5C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（2）标书雷同性分析(特征码比对或标书特征码)经电子评标系统检查不通过的；</w:t>
      </w:r>
    </w:p>
    <w:p w14:paraId="783FF19E">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（3）超出经营范围投标且法律法规规定属于限制经营或需前置性经营许可的；</w:t>
      </w:r>
    </w:p>
    <w:p w14:paraId="55412426">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（4）开标时不能按采购文件要求提供相应的投标资格证明文件进行资格审查的，或者不符合采购文件标明的资格要求的；</w:t>
      </w:r>
    </w:p>
    <w:p w14:paraId="47A36016">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（5）投标文件所有的投标声明书、投标函和法定代表人授权书均无法定代表人签名(或盖法定代表人私章)、没有盖单位公章的,或未按采购文件要求提供投标声明书、投标函和法定代表人授权书的；</w:t>
      </w:r>
    </w:p>
    <w:p w14:paraId="15A14922">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（6）投标文件内容不真实的；</w:t>
      </w:r>
    </w:p>
    <w:p w14:paraId="1AEAFBD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（7）投标文件的实质性内容含义不明确、同类问题表述不一致或者有明显文字和计算错误，或者使用计量单位不符合采购文件要求的（经评审委员会认定并允许其当场更正的笔误除外）；</w:t>
      </w:r>
    </w:p>
    <w:p w14:paraId="39F8A460">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（8）投标有效期、</w:t>
      </w:r>
      <w:r>
        <w:rPr>
          <w:rFonts w:hint="eastAsia" w:ascii="宋体" w:hAnsi="宋体"/>
          <w:color w:val="auto"/>
          <w:sz w:val="24"/>
          <w:szCs w:val="20"/>
          <w:highlight w:val="none"/>
          <w:lang w:eastAsia="zh-CN"/>
        </w:rPr>
        <w:t>服务期</w:t>
      </w:r>
      <w:r>
        <w:rPr>
          <w:rFonts w:hint="eastAsia" w:ascii="宋体" w:hAnsi="宋体"/>
          <w:color w:val="auto"/>
          <w:sz w:val="24"/>
          <w:szCs w:val="20"/>
          <w:highlight w:val="none"/>
        </w:rPr>
        <w:t>、付款方式、验收方法等商务条款不能满足采购文件要求的；</w:t>
      </w:r>
    </w:p>
    <w:p w14:paraId="02D9E762">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（9）在“资信商务、技术”标中出现投标报价的；</w:t>
      </w:r>
    </w:p>
    <w:p w14:paraId="4C1FE2BB">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（10）未实质性响应采购文件要求或者投标文件有招标方不能接受的附加条件的；</w:t>
      </w:r>
    </w:p>
    <w:p w14:paraId="43AD068B">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（11）未在湖州市绿色采购服务平台完成本项目网上报名的；</w:t>
      </w:r>
    </w:p>
    <w:p w14:paraId="6872AAF8">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（12）与采购文件中标“▲”的商务条款及采购文件其他要求发生实质性负偏离的；</w:t>
      </w:r>
    </w:p>
    <w:p w14:paraId="6E19F579">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（13）投标人提交两份或两份以上内容不同的投标文件；</w:t>
      </w:r>
    </w:p>
    <w:p w14:paraId="34FFA561">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（14）投标文件字迹模糊辨认不清的（评审委员会一致认为难以确认）；</w:t>
      </w:r>
    </w:p>
    <w:p w14:paraId="4A65E91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（15）投标产品载明的验收标准和方法等不符合国家规定的；</w:t>
      </w:r>
    </w:p>
    <w:p w14:paraId="13096F66">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（16）不符合法律、法规和采购文件规定的其他实质性要求（评审委员会一致认定）的；</w:t>
      </w:r>
    </w:p>
    <w:p w14:paraId="302C91CB">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（17）投标文件未按照采购文件规定的要求盖章的；</w:t>
      </w:r>
    </w:p>
    <w:p w14:paraId="35B86BDB">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（18）报价文件的报价信息出现在投标文件商务技术文件中的；</w:t>
      </w:r>
    </w:p>
    <w:p w14:paraId="44C66C4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szCs w:val="20"/>
          <w:highlight w:val="none"/>
        </w:rPr>
        <w:t>（19）法律、法规和本采购文件中其他规定投标文件无效的情形。</w:t>
      </w:r>
    </w:p>
    <w:p w14:paraId="2DEEE9B5">
      <w:pPr>
        <w:keepNext w:val="0"/>
        <w:keepLines w:val="0"/>
        <w:pageBreakBefore w:val="0"/>
        <w:kinsoku/>
        <w:wordWrap/>
        <w:overflowPunct/>
        <w:topLinePunct w:val="0"/>
        <w:bidi w:val="0"/>
        <w:adjustRightInd/>
        <w:snapToGrid w:val="0"/>
        <w:spacing w:line="400" w:lineRule="exact"/>
        <w:ind w:left="0" w:leftChars="0" w:firstLine="466" w:firstLineChars="200"/>
        <w:rPr>
          <w:rFonts w:hint="eastAsia" w:ascii="宋体" w:hAnsi="宋体"/>
          <w:b/>
          <w:bCs/>
          <w:color w:val="auto"/>
          <w:spacing w:val="-4"/>
          <w:sz w:val="24"/>
          <w:szCs w:val="20"/>
          <w:highlight w:val="none"/>
        </w:rPr>
      </w:pPr>
      <w:r>
        <w:rPr>
          <w:rFonts w:ascii="宋体" w:hAnsi="宋体"/>
          <w:b/>
          <w:bCs/>
          <w:color w:val="auto"/>
          <w:spacing w:val="-4"/>
          <w:sz w:val="24"/>
          <w:szCs w:val="20"/>
          <w:highlight w:val="none"/>
        </w:rPr>
        <w:t>2</w:t>
      </w:r>
      <w:r>
        <w:rPr>
          <w:rFonts w:hint="eastAsia" w:ascii="宋体" w:hAnsi="宋体"/>
          <w:b/>
          <w:bCs/>
          <w:color w:val="auto"/>
          <w:spacing w:val="-4"/>
          <w:sz w:val="24"/>
          <w:szCs w:val="20"/>
          <w:highlight w:val="none"/>
        </w:rPr>
        <w:t>.</w:t>
      </w:r>
      <w:r>
        <w:rPr>
          <w:rFonts w:ascii="宋体" w:hAnsi="宋体"/>
          <w:b/>
          <w:bCs/>
          <w:color w:val="auto"/>
          <w:spacing w:val="-4"/>
          <w:sz w:val="24"/>
          <w:szCs w:val="20"/>
          <w:highlight w:val="none"/>
        </w:rPr>
        <w:t>在技术评审时，如发现下列情形之一的，投标文件将被视为无效：</w:t>
      </w:r>
    </w:p>
    <w:p w14:paraId="37C4F465">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（1）未提供或未如实提供投标货物的技术参数，或者投标文件标明的响应或偏离与事实不符或虚假投标的；</w:t>
      </w:r>
    </w:p>
    <w:p w14:paraId="19B40B98">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（2）明显不符合采购文件要求的规格型号、质量标准，或者与采购文件中标“▲”的参数指标要求发生实质性负偏离的（评审委员会一致认定）；</w:t>
      </w:r>
    </w:p>
    <w:p w14:paraId="1D935B57">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（3）投标货物或服务的技术规范、技术标准明显不符合国家强制性要求的；</w:t>
      </w:r>
    </w:p>
    <w:p w14:paraId="0D77883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（4）投标技术方案不明确，存在一个或一个以上备选（替代）投标方案的；</w:t>
      </w:r>
    </w:p>
    <w:p w14:paraId="6B55473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（5）与其他参加本次投标供应商的投标文件（技术文件）的文字表述内容相同连续20行以上或者差错相同2处以上的；</w:t>
      </w:r>
    </w:p>
    <w:p w14:paraId="061DF1FD">
      <w:pPr>
        <w:keepNext w:val="0"/>
        <w:keepLines w:val="0"/>
        <w:pageBreakBefore w:val="0"/>
        <w:kinsoku/>
        <w:wordWrap/>
        <w:overflowPunct/>
        <w:topLinePunct w:val="0"/>
        <w:bidi w:val="0"/>
        <w:adjustRightInd/>
        <w:snapToGrid w:val="0"/>
        <w:spacing w:line="400" w:lineRule="exact"/>
        <w:ind w:left="0" w:leftChars="0" w:firstLine="457" w:firstLineChars="196"/>
        <w:rPr>
          <w:rFonts w:hint="eastAsia" w:ascii="宋体" w:hAnsi="宋体"/>
          <w:b/>
          <w:bCs/>
          <w:color w:val="auto"/>
          <w:spacing w:val="-4"/>
          <w:sz w:val="24"/>
          <w:szCs w:val="20"/>
          <w:highlight w:val="none"/>
        </w:rPr>
      </w:pPr>
      <w:r>
        <w:rPr>
          <w:rFonts w:ascii="宋体" w:hAnsi="宋体"/>
          <w:b/>
          <w:bCs/>
          <w:color w:val="auto"/>
          <w:spacing w:val="-4"/>
          <w:sz w:val="24"/>
          <w:szCs w:val="20"/>
          <w:highlight w:val="none"/>
        </w:rPr>
        <w:t>3</w:t>
      </w:r>
      <w:r>
        <w:rPr>
          <w:rFonts w:hint="eastAsia" w:ascii="宋体" w:hAnsi="宋体"/>
          <w:b/>
          <w:bCs/>
          <w:color w:val="auto"/>
          <w:spacing w:val="-4"/>
          <w:sz w:val="24"/>
          <w:szCs w:val="20"/>
          <w:highlight w:val="none"/>
        </w:rPr>
        <w:t>.</w:t>
      </w:r>
      <w:r>
        <w:rPr>
          <w:rFonts w:ascii="宋体" w:hAnsi="宋体"/>
          <w:b/>
          <w:bCs/>
          <w:color w:val="auto"/>
          <w:spacing w:val="-4"/>
          <w:sz w:val="24"/>
          <w:szCs w:val="20"/>
          <w:highlight w:val="none"/>
        </w:rPr>
        <w:t>在报价评审时，如发现下列情形之一的，投标文件将被视为无效：</w:t>
      </w:r>
    </w:p>
    <w:p w14:paraId="3633AF99">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（1）未采用人民币报价或者未按照采购文件标明的币种报价的；</w:t>
      </w:r>
    </w:p>
    <w:p w14:paraId="13331FE1">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（2）投标报价具有选择性；</w:t>
      </w:r>
    </w:p>
    <w:p w14:paraId="3A7604E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（3）投标报价明细表总额与开标一览表总价不一致，且高于总价5％的；</w:t>
      </w:r>
    </w:p>
    <w:p w14:paraId="70086A0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（4）评标委员会认为投标人的报价明显低于</w:t>
      </w:r>
      <w:r>
        <w:rPr>
          <w:rFonts w:hint="eastAsia" w:ascii="宋体" w:hAnsi="宋体"/>
          <w:b/>
          <w:bCs/>
          <w:color w:val="auto"/>
          <w:sz w:val="24"/>
          <w:szCs w:val="20"/>
          <w:highlight w:val="none"/>
          <w:lang w:val="en-US" w:eastAsia="zh-CN"/>
        </w:rPr>
        <w:t>全部</w:t>
      </w:r>
      <w:r>
        <w:rPr>
          <w:rFonts w:hint="eastAsia" w:ascii="宋体" w:hAnsi="宋体"/>
          <w:b/>
          <w:bCs/>
          <w:color w:val="auto"/>
          <w:sz w:val="24"/>
          <w:szCs w:val="20"/>
          <w:highlight w:val="none"/>
        </w:rPr>
        <w:t>通过符合性审查供应商投标（响应）报价平均值的50%</w:t>
      </w:r>
      <w:r>
        <w:rPr>
          <w:rFonts w:hint="eastAsia" w:ascii="宋体" w:hAnsi="宋体"/>
          <w:color w:val="auto"/>
          <w:sz w:val="24"/>
          <w:szCs w:val="20"/>
          <w:highlight w:val="none"/>
        </w:rPr>
        <w:t>，有可能影响产品质量或者不能诚信履约的，要求其在评标现场合理的时间内提供书面说明，并提交相关证明材料，但投标人不能证明其报价合理性的；</w:t>
      </w:r>
    </w:p>
    <w:p w14:paraId="394C0391">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（5）投标报价超出采购预算的（或采购文件规定的价格上限）；</w:t>
      </w:r>
    </w:p>
    <w:p w14:paraId="70D10918">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（6）法律法规和采购文件规定的其他无效情形。</w:t>
      </w:r>
    </w:p>
    <w:p w14:paraId="5146A5CA">
      <w:pPr>
        <w:keepNext w:val="0"/>
        <w:keepLines w:val="0"/>
        <w:pageBreakBefore w:val="0"/>
        <w:kinsoku/>
        <w:wordWrap/>
        <w:overflowPunct/>
        <w:topLinePunct w:val="0"/>
        <w:bidi w:val="0"/>
        <w:adjustRightInd/>
        <w:snapToGrid w:val="0"/>
        <w:spacing w:line="400" w:lineRule="exact"/>
        <w:ind w:left="0" w:leftChars="0" w:firstLine="457" w:firstLineChars="196"/>
        <w:rPr>
          <w:rFonts w:hint="eastAsia" w:ascii="宋体" w:hAnsi="宋体"/>
          <w:color w:val="auto"/>
          <w:spacing w:val="-4"/>
          <w:szCs w:val="21"/>
          <w:highlight w:val="none"/>
        </w:rPr>
      </w:pPr>
      <w:r>
        <w:rPr>
          <w:rFonts w:ascii="宋体" w:hAnsi="宋体"/>
          <w:b/>
          <w:color w:val="auto"/>
          <w:spacing w:val="-4"/>
          <w:sz w:val="24"/>
          <w:szCs w:val="20"/>
          <w:highlight w:val="none"/>
        </w:rPr>
        <w:t>4</w:t>
      </w:r>
      <w:r>
        <w:rPr>
          <w:rFonts w:hint="eastAsia" w:ascii="宋体" w:hAnsi="宋体"/>
          <w:b/>
          <w:color w:val="auto"/>
          <w:spacing w:val="-4"/>
          <w:sz w:val="24"/>
          <w:szCs w:val="20"/>
          <w:highlight w:val="none"/>
        </w:rPr>
        <w:t>.</w:t>
      </w:r>
      <w:r>
        <w:rPr>
          <w:rFonts w:ascii="宋体" w:hAnsi="宋体"/>
          <w:b/>
          <w:color w:val="auto"/>
          <w:spacing w:val="-4"/>
          <w:sz w:val="24"/>
          <w:szCs w:val="20"/>
          <w:highlight w:val="none"/>
        </w:rPr>
        <w:t>被拒绝的投标文件为无效。</w:t>
      </w:r>
    </w:p>
    <w:p w14:paraId="24A2B786">
      <w:pPr>
        <w:keepNext w:val="0"/>
        <w:keepLines w:val="0"/>
        <w:pageBreakBefore w:val="0"/>
        <w:kinsoku/>
        <w:wordWrap/>
        <w:overflowPunct/>
        <w:topLinePunct w:val="0"/>
        <w:bidi w:val="0"/>
        <w:adjustRightInd/>
        <w:snapToGrid w:val="0"/>
        <w:spacing w:line="400" w:lineRule="exact"/>
        <w:ind w:left="0" w:leftChars="0"/>
        <w:rPr>
          <w:rFonts w:hint="eastAsia" w:ascii="宋体" w:hAnsi="宋体"/>
          <w:b/>
          <w:snapToGrid w:val="0"/>
          <w:color w:val="auto"/>
          <w:spacing w:val="-4"/>
          <w:sz w:val="28"/>
          <w:szCs w:val="28"/>
          <w:highlight w:val="none"/>
        </w:rPr>
      </w:pPr>
      <w:r>
        <w:rPr>
          <w:rFonts w:hint="eastAsia" w:ascii="宋体" w:hAnsi="宋体"/>
          <w:b/>
          <w:color w:val="auto"/>
          <w:spacing w:val="-4"/>
          <w:sz w:val="28"/>
          <w:szCs w:val="28"/>
          <w:highlight w:val="none"/>
        </w:rPr>
        <w:t>四、开标</w:t>
      </w:r>
    </w:p>
    <w:p w14:paraId="6A2D3D64">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color w:val="auto"/>
          <w:sz w:val="24"/>
          <w:highlight w:val="none"/>
        </w:rPr>
      </w:pPr>
      <w:r>
        <w:rPr>
          <w:rFonts w:ascii="宋体" w:hAnsi="宋体"/>
          <w:b/>
          <w:color w:val="auto"/>
          <w:sz w:val="24"/>
          <w:highlight w:val="none"/>
        </w:rPr>
        <w:t>（一）开标准备</w:t>
      </w:r>
    </w:p>
    <w:p w14:paraId="35EC27C8">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采购代理公司将在规定的时间和地点进行开标，邀请所有投标人参加开标会，所有投标人应在投标截止时间前登录湖州市绿色采购服务平台-不见面开标大厅参加投标会议。</w:t>
      </w:r>
    </w:p>
    <w:p w14:paraId="2349FA60">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投标截止前30分钟，由招标代理机构登录湖州市绿色采购服务平台-选择不见面开标大厅系统，做好网上不见面开标准备。</w:t>
      </w:r>
    </w:p>
    <w:p w14:paraId="1D3A31F4">
      <w:pPr>
        <w:keepNext w:val="0"/>
        <w:keepLines w:val="0"/>
        <w:pageBreakBefore w:val="0"/>
        <w:kinsoku/>
        <w:wordWrap/>
        <w:overflowPunct/>
        <w:topLinePunct w:val="0"/>
        <w:bidi w:val="0"/>
        <w:adjustRightInd/>
        <w:snapToGrid w:val="0"/>
        <w:spacing w:line="400" w:lineRule="exact"/>
        <w:ind w:left="0" w:leftChars="0" w:firstLine="482" w:firstLineChars="200"/>
        <w:rPr>
          <w:rFonts w:hint="eastAsia" w:ascii="宋体" w:hAnsi="宋体"/>
          <w:b/>
          <w:color w:val="auto"/>
          <w:sz w:val="24"/>
          <w:highlight w:val="none"/>
        </w:rPr>
      </w:pPr>
      <w:r>
        <w:rPr>
          <w:rFonts w:ascii="宋体" w:hAnsi="宋体"/>
          <w:b/>
          <w:color w:val="auto"/>
          <w:sz w:val="24"/>
          <w:highlight w:val="none"/>
        </w:rPr>
        <w:t>（二）开标程序：</w:t>
      </w:r>
    </w:p>
    <w:p w14:paraId="6FC7CDC9">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1.开标会由采购代理公司主持，主持人宣布开标会议开始；</w:t>
      </w:r>
    </w:p>
    <w:p w14:paraId="05113BE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.各投标人应于投标截止时间前使用加密锁自行登录湖州市绿色采购服务平台-不见面开标大厅并完成在线签到，否则视为在线不到场，投标文件开启解密时将被拒绝解密；</w:t>
      </w:r>
    </w:p>
    <w:p w14:paraId="3E62AD6E">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3</w:t>
      </w:r>
      <w:r>
        <w:rPr>
          <w:rFonts w:hint="eastAsia" w:ascii="宋体" w:hAnsi="宋体"/>
          <w:color w:val="auto"/>
          <w:sz w:val="24"/>
          <w:highlight w:val="none"/>
        </w:rPr>
        <w:t>.投标截止时间后，由招标代理机构公布投标人情况、解密要求、在线公布现场监督；</w:t>
      </w:r>
    </w:p>
    <w:p w14:paraId="03E74F1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4</w:t>
      </w:r>
      <w:r>
        <w:rPr>
          <w:rFonts w:hint="eastAsia" w:ascii="宋体" w:hAnsi="宋体"/>
          <w:color w:val="auto"/>
          <w:sz w:val="24"/>
          <w:highlight w:val="none"/>
        </w:rPr>
        <w:t>.投标人需在系统开启投标文件解密时间后 30 分钟内对投标文件进行网上在线解密。未在规定时间内完成的，因投标人原因造成投标文件未解密的，视为撤销其投标文件；因投标人之外的原因造成投标文件未解密的，视为撤回其投标文件。部分投标文件未解密的，其他投标文件的开标可以继续进行。</w:t>
      </w:r>
    </w:p>
    <w:p w14:paraId="7A8772C2">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5</w:t>
      </w:r>
      <w:r>
        <w:rPr>
          <w:rFonts w:hint="eastAsia" w:ascii="宋体" w:hAnsi="宋体"/>
          <w:color w:val="auto"/>
          <w:sz w:val="24"/>
          <w:highlight w:val="none"/>
        </w:rPr>
        <w:t>.招标人现场解密、投标文件导入等全程操作；</w:t>
      </w:r>
    </w:p>
    <w:p w14:paraId="25A85ED9">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6</w:t>
      </w:r>
      <w:r>
        <w:rPr>
          <w:rFonts w:hint="eastAsia" w:ascii="宋体" w:hAnsi="宋体"/>
          <w:color w:val="auto"/>
          <w:sz w:val="24"/>
          <w:highlight w:val="none"/>
        </w:rPr>
        <w:t>.对网上招投标过程有异议的，投标人应当直接在线提疑，同时由招标人在线进行回复；</w:t>
      </w:r>
    </w:p>
    <w:p w14:paraId="2BBA5C36">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7</w:t>
      </w:r>
      <w:r>
        <w:rPr>
          <w:rFonts w:hint="eastAsia" w:ascii="宋体" w:hAnsi="宋体"/>
          <w:color w:val="auto"/>
          <w:sz w:val="24"/>
          <w:highlight w:val="none"/>
        </w:rPr>
        <w:t>.在湖州市绿色采购服务平台电子开标及评审；</w:t>
      </w:r>
    </w:p>
    <w:p w14:paraId="1509C6E9">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8</w:t>
      </w:r>
      <w:r>
        <w:rPr>
          <w:rFonts w:hint="eastAsia" w:ascii="宋体" w:hAnsi="宋体"/>
          <w:color w:val="auto"/>
          <w:sz w:val="24"/>
          <w:highlight w:val="none"/>
        </w:rPr>
        <w:t>.资信/商务、技术评分结束后开启报价文件，再由评审委员会对各报价文件进行审查，得出价格分数，并计算出总分。</w:t>
      </w:r>
    </w:p>
    <w:p w14:paraId="45820AE9">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9</w:t>
      </w:r>
      <w:r>
        <w:rPr>
          <w:rFonts w:hint="eastAsia" w:ascii="宋体" w:hAnsi="宋体"/>
          <w:color w:val="auto"/>
          <w:sz w:val="24"/>
          <w:highlight w:val="none"/>
        </w:rPr>
        <w:t>.由各投标人通过开标大厅自行查看各投标人名称及在其投标文件中承诺的投标报价等内容。</w:t>
      </w:r>
    </w:p>
    <w:p w14:paraId="5DFA7075">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lang w:val="en-US" w:eastAsia="zh-CN"/>
        </w:rPr>
        <w:t>0</w:t>
      </w:r>
      <w:r>
        <w:rPr>
          <w:rFonts w:hint="eastAsia" w:ascii="宋体" w:hAnsi="宋体"/>
          <w:color w:val="auto"/>
          <w:sz w:val="24"/>
          <w:highlight w:val="none"/>
        </w:rPr>
        <w:t>.评审小组对当前有效供应商的报价文件进行报价评审（确认报价是否明显低于</w:t>
      </w:r>
      <w:r>
        <w:rPr>
          <w:rFonts w:hint="eastAsia" w:ascii="宋体" w:hAnsi="宋体"/>
          <w:b/>
          <w:bCs/>
          <w:color w:val="auto"/>
          <w:sz w:val="24"/>
          <w:szCs w:val="20"/>
          <w:highlight w:val="none"/>
          <w:lang w:val="en-US" w:eastAsia="zh-CN"/>
        </w:rPr>
        <w:t>全部</w:t>
      </w:r>
      <w:r>
        <w:rPr>
          <w:rFonts w:hint="eastAsia" w:ascii="宋体" w:hAnsi="宋体"/>
          <w:b/>
          <w:bCs/>
          <w:color w:val="auto"/>
          <w:sz w:val="24"/>
          <w:szCs w:val="20"/>
          <w:highlight w:val="none"/>
        </w:rPr>
        <w:t>通过符合性审查供应商投标（响应）报价平均值的50%</w:t>
      </w:r>
      <w:r>
        <w:rPr>
          <w:rFonts w:hint="eastAsia" w:ascii="宋体" w:hAnsi="宋体"/>
          <w:color w:val="auto"/>
          <w:sz w:val="24"/>
          <w:highlight w:val="none"/>
        </w:rPr>
        <w:t>），并出具评审报告。</w:t>
      </w:r>
    </w:p>
    <w:p w14:paraId="32C670A8">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lang w:val="en-US" w:eastAsia="zh-CN"/>
        </w:rPr>
        <w:t>1.</w:t>
      </w:r>
      <w:r>
        <w:rPr>
          <w:rFonts w:hint="eastAsia" w:ascii="宋体" w:hAnsi="宋体"/>
          <w:color w:val="auto"/>
          <w:sz w:val="24"/>
          <w:highlight w:val="none"/>
        </w:rPr>
        <w:t>开标会议结束。</w:t>
      </w:r>
    </w:p>
    <w:p w14:paraId="3D7ABF3E">
      <w:pPr>
        <w:keepNext w:val="0"/>
        <w:keepLines w:val="0"/>
        <w:pageBreakBefore w:val="0"/>
        <w:widowControl w:val="0"/>
        <w:kinsoku/>
        <w:wordWrap/>
        <w:overflowPunct/>
        <w:topLinePunct w:val="0"/>
        <w:autoSpaceDE/>
        <w:autoSpaceDN/>
        <w:bidi w:val="0"/>
        <w:adjustRightInd/>
        <w:snapToGrid w:val="0"/>
        <w:spacing w:line="360" w:lineRule="exact"/>
        <w:ind w:left="0" w:leftChars="0" w:firstLine="0" w:firstLineChars="0"/>
        <w:textAlignment w:val="auto"/>
        <w:rPr>
          <w:rFonts w:hint="eastAsia"/>
          <w:color w:val="auto"/>
          <w:highlight w:val="none"/>
        </w:rPr>
      </w:pPr>
      <w:r>
        <w:rPr>
          <w:rFonts w:hint="eastAsia" w:ascii="宋体" w:hAnsi="宋体"/>
          <w:b/>
          <w:bCs/>
          <w:color w:val="auto"/>
          <w:sz w:val="24"/>
          <w:szCs w:val="24"/>
          <w:highlight w:val="none"/>
        </w:rPr>
        <w:t>特别说明：湖州市绿色采购服务平台如对电子化开标及评审程序有调整的，按调整后的程序操作。</w:t>
      </w:r>
    </w:p>
    <w:p w14:paraId="4D33E74E">
      <w:pPr>
        <w:keepNext w:val="0"/>
        <w:keepLines w:val="0"/>
        <w:pageBreakBefore w:val="0"/>
        <w:kinsoku/>
        <w:wordWrap/>
        <w:overflowPunct/>
        <w:topLinePunct w:val="0"/>
        <w:bidi w:val="0"/>
        <w:adjustRightInd/>
        <w:snapToGrid w:val="0"/>
        <w:spacing w:line="400" w:lineRule="exact"/>
        <w:ind w:left="0" w:leftChars="0"/>
        <w:rPr>
          <w:rFonts w:hint="eastAsia" w:ascii="宋体" w:hAnsi="宋体"/>
          <w:b/>
          <w:color w:val="auto"/>
          <w:sz w:val="28"/>
          <w:szCs w:val="28"/>
          <w:highlight w:val="none"/>
        </w:rPr>
      </w:pPr>
      <w:r>
        <w:rPr>
          <w:rFonts w:hint="eastAsia" w:ascii="宋体" w:hAnsi="宋体"/>
          <w:b/>
          <w:color w:val="auto"/>
          <w:sz w:val="28"/>
          <w:szCs w:val="28"/>
          <w:highlight w:val="none"/>
        </w:rPr>
        <w:t>五、评标</w:t>
      </w:r>
    </w:p>
    <w:p w14:paraId="4EA1D4A3">
      <w:pPr>
        <w:keepNext w:val="0"/>
        <w:keepLines w:val="0"/>
        <w:pageBreakBefore w:val="0"/>
        <w:kinsoku/>
        <w:wordWrap/>
        <w:overflowPunct/>
        <w:topLinePunct w:val="0"/>
        <w:bidi w:val="0"/>
        <w:adjustRightInd/>
        <w:snapToGrid w:val="0"/>
        <w:spacing w:line="400" w:lineRule="exact"/>
        <w:ind w:left="241" w:leftChars="0" w:hanging="241" w:hangingChars="100"/>
        <w:rPr>
          <w:rFonts w:hint="eastAsia" w:ascii="宋体" w:hAnsi="宋体"/>
          <w:b/>
          <w:color w:val="auto"/>
          <w:sz w:val="24"/>
          <w:highlight w:val="none"/>
        </w:rPr>
      </w:pPr>
      <w:r>
        <w:rPr>
          <w:rFonts w:ascii="宋体" w:hAnsi="宋体"/>
          <w:b/>
          <w:color w:val="auto"/>
          <w:sz w:val="24"/>
          <w:highlight w:val="none"/>
        </w:rPr>
        <w:t>（一）组建评审委员会</w:t>
      </w:r>
    </w:p>
    <w:p w14:paraId="614FE1C3">
      <w:pPr>
        <w:pStyle w:val="10"/>
        <w:keepNext w:val="0"/>
        <w:keepLines w:val="0"/>
        <w:pageBreakBefore w:val="0"/>
        <w:kinsoku/>
        <w:wordWrap/>
        <w:overflowPunct/>
        <w:topLinePunct w:val="0"/>
        <w:bidi w:val="0"/>
        <w:adjustRightInd/>
        <w:snapToGrid w:val="0"/>
        <w:spacing w:line="400" w:lineRule="exact"/>
        <w:ind w:left="0" w:leftChars="0" w:firstLine="480" w:firstLineChars="200"/>
        <w:rPr>
          <w:rFonts w:hint="eastAsia"/>
          <w:color w:val="auto"/>
          <w:highlight w:val="none"/>
        </w:rPr>
      </w:pPr>
      <w:r>
        <w:rPr>
          <w:color w:val="auto"/>
          <w:sz w:val="24"/>
          <w:szCs w:val="24"/>
          <w:highlight w:val="none"/>
        </w:rPr>
        <w:t>本项目评审委员会由</w:t>
      </w:r>
      <w:r>
        <w:rPr>
          <w:rFonts w:hint="eastAsia"/>
          <w:color w:val="auto"/>
          <w:sz w:val="24"/>
          <w:szCs w:val="24"/>
          <w:highlight w:val="none"/>
        </w:rPr>
        <w:t>招标人代表和有关技术、经济等方面的专家组成，成员人数为5人及以上单数，其中技术经济等方面的专家不少于成员总数的三分之二</w:t>
      </w:r>
      <w:r>
        <w:rPr>
          <w:color w:val="auto"/>
          <w:sz w:val="24"/>
          <w:szCs w:val="24"/>
          <w:highlight w:val="none"/>
        </w:rPr>
        <w:t>。</w:t>
      </w:r>
    </w:p>
    <w:p w14:paraId="44B3C3DF">
      <w:pPr>
        <w:keepNext w:val="0"/>
        <w:keepLines w:val="0"/>
        <w:pageBreakBefore w:val="0"/>
        <w:kinsoku/>
        <w:wordWrap/>
        <w:overflowPunct/>
        <w:topLinePunct w:val="0"/>
        <w:bidi w:val="0"/>
        <w:adjustRightInd/>
        <w:snapToGrid w:val="0"/>
        <w:spacing w:line="400" w:lineRule="exact"/>
        <w:ind w:left="241" w:leftChars="0" w:hanging="241" w:hangingChars="100"/>
        <w:rPr>
          <w:rFonts w:hint="eastAsia" w:ascii="宋体" w:hAnsi="宋体"/>
          <w:b/>
          <w:color w:val="auto"/>
          <w:sz w:val="24"/>
          <w:highlight w:val="none"/>
        </w:rPr>
      </w:pPr>
      <w:r>
        <w:rPr>
          <w:rFonts w:ascii="宋体" w:hAnsi="宋体"/>
          <w:b/>
          <w:color w:val="auto"/>
          <w:sz w:val="24"/>
          <w:highlight w:val="none"/>
        </w:rPr>
        <w:t>（二）评标的方式</w:t>
      </w:r>
    </w:p>
    <w:p w14:paraId="1F9FDC49">
      <w:pPr>
        <w:keepNext w:val="0"/>
        <w:keepLines w:val="0"/>
        <w:pageBreakBefore w:val="0"/>
        <w:kinsoku/>
        <w:wordWrap/>
        <w:overflowPunct/>
        <w:topLinePunct w:val="0"/>
        <w:bidi w:val="0"/>
        <w:adjustRightInd/>
        <w:snapToGrid w:val="0"/>
        <w:spacing w:line="400" w:lineRule="exact"/>
        <w:ind w:left="240" w:leftChars="0" w:hanging="240" w:hangingChars="100"/>
        <w:rPr>
          <w:rFonts w:hint="eastAsia" w:ascii="宋体" w:hAnsi="宋体"/>
          <w:color w:val="auto"/>
          <w:sz w:val="24"/>
          <w:highlight w:val="none"/>
        </w:rPr>
      </w:pPr>
      <w:r>
        <w:rPr>
          <w:rFonts w:ascii="宋体" w:hAnsi="宋体"/>
          <w:color w:val="auto"/>
          <w:sz w:val="24"/>
          <w:highlight w:val="none"/>
        </w:rPr>
        <w:t>本项目采用不公开方式评标，评标的依据为采购文件和投标文件。</w:t>
      </w:r>
    </w:p>
    <w:p w14:paraId="3AF3B372">
      <w:pPr>
        <w:keepNext w:val="0"/>
        <w:keepLines w:val="0"/>
        <w:pageBreakBefore w:val="0"/>
        <w:kinsoku/>
        <w:wordWrap/>
        <w:overflowPunct/>
        <w:topLinePunct w:val="0"/>
        <w:bidi w:val="0"/>
        <w:adjustRightInd/>
        <w:snapToGrid w:val="0"/>
        <w:spacing w:line="400" w:lineRule="exact"/>
        <w:ind w:left="241" w:leftChars="0" w:hanging="241" w:hangingChars="100"/>
        <w:rPr>
          <w:rFonts w:hint="eastAsia" w:ascii="宋体" w:hAnsi="宋体"/>
          <w:b/>
          <w:bCs/>
          <w:color w:val="auto"/>
          <w:sz w:val="24"/>
          <w:highlight w:val="none"/>
        </w:rPr>
      </w:pPr>
      <w:r>
        <w:rPr>
          <w:rFonts w:ascii="宋体" w:hAnsi="宋体"/>
          <w:b/>
          <w:color w:val="auto"/>
          <w:sz w:val="24"/>
          <w:highlight w:val="none"/>
        </w:rPr>
        <w:t>（三）</w:t>
      </w:r>
      <w:r>
        <w:rPr>
          <w:rFonts w:hint="eastAsia" w:ascii="宋体" w:hAnsi="宋体"/>
          <w:b/>
          <w:color w:val="auto"/>
          <w:sz w:val="24"/>
          <w:highlight w:val="none"/>
        </w:rPr>
        <w:t>组织</w:t>
      </w:r>
      <w:r>
        <w:rPr>
          <w:rFonts w:ascii="宋体" w:hAnsi="宋体"/>
          <w:b/>
          <w:bCs/>
          <w:color w:val="auto"/>
          <w:sz w:val="24"/>
          <w:highlight w:val="none"/>
        </w:rPr>
        <w:t>评标程序</w:t>
      </w:r>
    </w:p>
    <w:p w14:paraId="0C21BD34">
      <w:pPr>
        <w:keepNext w:val="0"/>
        <w:keepLines w:val="0"/>
        <w:pageBreakBefore w:val="0"/>
        <w:kinsoku/>
        <w:wordWrap/>
        <w:overflowPunct/>
        <w:topLinePunct w:val="0"/>
        <w:bidi w:val="0"/>
        <w:adjustRightInd/>
        <w:snapToGrid w:val="0"/>
        <w:spacing w:line="400" w:lineRule="exact"/>
        <w:ind w:left="0" w:leftChars="0" w:firstLine="475" w:firstLineChars="198"/>
        <w:rPr>
          <w:rFonts w:hint="eastAsia" w:ascii="宋体" w:hAnsi="宋体"/>
          <w:color w:val="auto"/>
          <w:sz w:val="24"/>
          <w:highlight w:val="none"/>
        </w:rPr>
      </w:pPr>
      <w:r>
        <w:rPr>
          <w:rFonts w:hint="eastAsia" w:ascii="宋体" w:hAnsi="宋体"/>
          <w:color w:val="auto"/>
          <w:sz w:val="24"/>
          <w:highlight w:val="none"/>
        </w:rPr>
        <w:t>采购代理公司将按照采购文件规定的时间、地点和程序组织评标，各评审专家及相关人员应参加评审活动并接受核验、签到，无关人员不得进入评审现场。</w:t>
      </w:r>
    </w:p>
    <w:p w14:paraId="23E3A34B">
      <w:pPr>
        <w:keepNext w:val="0"/>
        <w:keepLines w:val="0"/>
        <w:pageBreakBefore w:val="0"/>
        <w:kinsoku/>
        <w:wordWrap/>
        <w:overflowPunct/>
        <w:topLinePunct w:val="0"/>
        <w:bidi w:val="0"/>
        <w:adjustRightInd/>
        <w:snapToGrid w:val="0"/>
        <w:spacing w:line="400" w:lineRule="exact"/>
        <w:ind w:left="0" w:leftChars="0" w:firstLine="475" w:firstLineChars="198"/>
        <w:rPr>
          <w:rFonts w:hint="eastAsia" w:ascii="宋体" w:hAnsi="宋体"/>
          <w:color w:val="auto"/>
          <w:sz w:val="24"/>
          <w:highlight w:val="none"/>
        </w:rPr>
      </w:pPr>
      <w:r>
        <w:rPr>
          <w:rFonts w:hint="eastAsia" w:ascii="宋体" w:hAnsi="宋体"/>
          <w:color w:val="auto"/>
          <w:sz w:val="24"/>
          <w:highlight w:val="none"/>
        </w:rPr>
        <w:t>1.核验出席评审活动现场的评审小组各成员和相关监督人员身份，并要求其分别登记、签到，按规定统一收缴、保存其通讯工具，无关人员一律拒绝其进入评审现场。</w:t>
      </w:r>
    </w:p>
    <w:p w14:paraId="516BA2A2">
      <w:pPr>
        <w:keepNext w:val="0"/>
        <w:keepLines w:val="0"/>
        <w:pageBreakBefore w:val="0"/>
        <w:kinsoku/>
        <w:wordWrap/>
        <w:overflowPunct/>
        <w:topLinePunct w:val="0"/>
        <w:bidi w:val="0"/>
        <w:adjustRightInd/>
        <w:snapToGrid w:val="0"/>
        <w:spacing w:line="400" w:lineRule="exact"/>
        <w:ind w:left="0" w:leftChars="0" w:firstLine="475" w:firstLineChars="198"/>
        <w:rPr>
          <w:rFonts w:hint="eastAsia" w:ascii="宋体" w:hAnsi="宋体"/>
          <w:color w:val="auto"/>
          <w:sz w:val="24"/>
          <w:highlight w:val="none"/>
        </w:rPr>
      </w:pPr>
      <w:r>
        <w:rPr>
          <w:rFonts w:hint="eastAsia" w:ascii="宋体" w:hAnsi="宋体"/>
          <w:color w:val="auto"/>
          <w:sz w:val="24"/>
          <w:highlight w:val="none"/>
        </w:rPr>
        <w:t>2.介绍评审现场的人员情况，宣布评审工作纪律，告知评审人员应当回避情形；组织推选评审小组组长。</w:t>
      </w:r>
    </w:p>
    <w:p w14:paraId="4A44C3FA">
      <w:pPr>
        <w:keepNext w:val="0"/>
        <w:keepLines w:val="0"/>
        <w:pageBreakBefore w:val="0"/>
        <w:kinsoku/>
        <w:wordWrap/>
        <w:overflowPunct/>
        <w:topLinePunct w:val="0"/>
        <w:bidi w:val="0"/>
        <w:adjustRightInd/>
        <w:snapToGrid w:val="0"/>
        <w:spacing w:line="400" w:lineRule="exact"/>
        <w:ind w:left="0" w:leftChars="0" w:firstLine="475" w:firstLineChars="198"/>
        <w:rPr>
          <w:rFonts w:hint="eastAsia" w:ascii="宋体" w:hAnsi="宋体"/>
          <w:color w:val="auto"/>
          <w:sz w:val="24"/>
          <w:highlight w:val="none"/>
        </w:rPr>
      </w:pPr>
      <w:r>
        <w:rPr>
          <w:rFonts w:hint="eastAsia" w:ascii="宋体" w:hAnsi="宋体"/>
          <w:color w:val="auto"/>
          <w:sz w:val="24"/>
          <w:highlight w:val="none"/>
        </w:rPr>
        <w:t>3.宣读提交投标文件的供应商名单。</w:t>
      </w:r>
    </w:p>
    <w:p w14:paraId="2FDD4FD9">
      <w:pPr>
        <w:keepNext w:val="0"/>
        <w:keepLines w:val="0"/>
        <w:pageBreakBefore w:val="0"/>
        <w:kinsoku/>
        <w:wordWrap/>
        <w:overflowPunct/>
        <w:topLinePunct w:val="0"/>
        <w:bidi w:val="0"/>
        <w:adjustRightInd/>
        <w:snapToGrid w:val="0"/>
        <w:spacing w:line="400" w:lineRule="exact"/>
        <w:ind w:left="0" w:leftChars="0" w:firstLine="475" w:firstLineChars="198"/>
        <w:rPr>
          <w:rFonts w:hint="eastAsia" w:ascii="宋体" w:hAnsi="宋体"/>
          <w:color w:val="auto"/>
          <w:sz w:val="24"/>
          <w:highlight w:val="none"/>
        </w:rPr>
      </w:pPr>
      <w:r>
        <w:rPr>
          <w:rFonts w:hint="eastAsia" w:ascii="宋体" w:hAnsi="宋体"/>
          <w:color w:val="auto"/>
          <w:sz w:val="24"/>
          <w:highlight w:val="none"/>
        </w:rPr>
        <w:t>4.根据需要简要介绍采购文件（含补充文件）制定及质疑答复情况、按书面陈述项目基本情况及评审工作需注意事项等，让评审专家尽快知悉和了解所评审项目的采购需求、评审依据、评审标准、工作程序等；提醒评审小组对客观评审项目应统一评审依据和评审标准，对主观评审项目应确定大致的评审要求和评审尺度；对评审人员提出的有关采购文件、投标文件的问题进行必要的说明、解释或讨论。</w:t>
      </w:r>
    </w:p>
    <w:p w14:paraId="3F221E33">
      <w:pPr>
        <w:keepNext w:val="0"/>
        <w:keepLines w:val="0"/>
        <w:pageBreakBefore w:val="0"/>
        <w:kinsoku/>
        <w:wordWrap/>
        <w:overflowPunct/>
        <w:topLinePunct w:val="0"/>
        <w:bidi w:val="0"/>
        <w:adjustRightInd/>
        <w:snapToGrid w:val="0"/>
        <w:spacing w:line="400" w:lineRule="exact"/>
        <w:ind w:left="0" w:leftChars="0" w:firstLine="475" w:firstLineChars="198"/>
        <w:rPr>
          <w:rFonts w:hint="eastAsia" w:ascii="宋体" w:hAnsi="宋体"/>
          <w:color w:val="auto"/>
          <w:sz w:val="24"/>
          <w:highlight w:val="none"/>
        </w:rPr>
      </w:pPr>
      <w:r>
        <w:rPr>
          <w:rFonts w:hint="eastAsia" w:ascii="宋体" w:hAnsi="宋体"/>
          <w:color w:val="auto"/>
          <w:sz w:val="24"/>
          <w:highlight w:val="none"/>
        </w:rPr>
        <w:t>5.</w:t>
      </w:r>
      <w:r>
        <w:rPr>
          <w:rFonts w:hint="eastAsia"/>
          <w:color w:val="auto"/>
          <w:highlight w:val="none"/>
        </w:rPr>
        <w:t xml:space="preserve"> </w:t>
      </w:r>
      <w:r>
        <w:rPr>
          <w:rFonts w:hint="eastAsia" w:ascii="宋体" w:hAnsi="宋体"/>
          <w:color w:val="auto"/>
          <w:sz w:val="24"/>
          <w:highlight w:val="none"/>
        </w:rPr>
        <w:t>做好评审现场相关记录，协助评审小组组长做好评审报告起草、有关内容电脑文字录入等工作，并要求评审小组各成员签字确认。</w:t>
      </w:r>
    </w:p>
    <w:p w14:paraId="4154F43E">
      <w:pPr>
        <w:keepNext w:val="0"/>
        <w:keepLines w:val="0"/>
        <w:pageBreakBefore w:val="0"/>
        <w:kinsoku/>
        <w:wordWrap/>
        <w:overflowPunct/>
        <w:topLinePunct w:val="0"/>
        <w:bidi w:val="0"/>
        <w:adjustRightInd/>
        <w:snapToGrid w:val="0"/>
        <w:spacing w:line="400" w:lineRule="exact"/>
        <w:ind w:left="0" w:leftChars="0" w:firstLine="475" w:firstLineChars="198"/>
        <w:rPr>
          <w:rFonts w:hint="eastAsia" w:ascii="宋体" w:hAnsi="宋体"/>
          <w:color w:val="auto"/>
          <w:sz w:val="24"/>
          <w:highlight w:val="none"/>
        </w:rPr>
      </w:pPr>
      <w:r>
        <w:rPr>
          <w:rFonts w:hint="eastAsia" w:ascii="宋体" w:hAnsi="宋体"/>
          <w:color w:val="auto"/>
          <w:sz w:val="24"/>
          <w:highlight w:val="none"/>
        </w:rPr>
        <w:t>6.</w:t>
      </w:r>
      <w:r>
        <w:rPr>
          <w:rFonts w:hint="eastAsia"/>
          <w:color w:val="auto"/>
          <w:highlight w:val="none"/>
        </w:rPr>
        <w:t xml:space="preserve"> </w:t>
      </w:r>
      <w:r>
        <w:rPr>
          <w:rFonts w:hint="eastAsia" w:ascii="宋体" w:hAnsi="宋体"/>
          <w:color w:val="auto"/>
          <w:sz w:val="24"/>
          <w:highlight w:val="none"/>
        </w:rPr>
        <w:t>评审结束后，采购代理公司应对评审小组各成员的专业水平、职业道德、遵纪守法等情况进行评价；同时按规定向评审专家发放评审费，并交还评审人员及其他现场相关人员的通讯工具。</w:t>
      </w:r>
    </w:p>
    <w:p w14:paraId="2FEB0E44">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bCs/>
          <w:color w:val="auto"/>
          <w:sz w:val="24"/>
          <w:szCs w:val="20"/>
          <w:highlight w:val="none"/>
        </w:rPr>
      </w:pPr>
      <w:r>
        <w:rPr>
          <w:rFonts w:hint="eastAsia" w:ascii="宋体" w:hAnsi="宋体"/>
          <w:b/>
          <w:bCs/>
          <w:color w:val="auto"/>
          <w:sz w:val="24"/>
          <w:szCs w:val="20"/>
          <w:highlight w:val="none"/>
        </w:rPr>
        <w:t>（四）评标程序</w:t>
      </w:r>
    </w:p>
    <w:p w14:paraId="55AA9374">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bCs/>
          <w:color w:val="auto"/>
          <w:sz w:val="24"/>
          <w:szCs w:val="20"/>
          <w:highlight w:val="none"/>
        </w:rPr>
      </w:pPr>
      <w:r>
        <w:rPr>
          <w:rFonts w:ascii="宋体" w:hAnsi="宋体"/>
          <w:b/>
          <w:bCs/>
          <w:color w:val="auto"/>
          <w:sz w:val="24"/>
          <w:szCs w:val="20"/>
          <w:highlight w:val="none"/>
        </w:rPr>
        <w:t>1</w:t>
      </w:r>
      <w:r>
        <w:rPr>
          <w:rFonts w:hint="eastAsia" w:ascii="宋体" w:hAnsi="宋体"/>
          <w:b/>
          <w:bCs/>
          <w:color w:val="auto"/>
          <w:sz w:val="24"/>
          <w:szCs w:val="20"/>
          <w:highlight w:val="none"/>
        </w:rPr>
        <w:t>.</w:t>
      </w:r>
      <w:r>
        <w:rPr>
          <w:rFonts w:ascii="宋体" w:hAnsi="宋体"/>
          <w:b/>
          <w:bCs/>
          <w:color w:val="auto"/>
          <w:sz w:val="24"/>
          <w:szCs w:val="20"/>
          <w:highlight w:val="none"/>
        </w:rPr>
        <w:t>形式审查</w:t>
      </w:r>
      <w:r>
        <w:rPr>
          <w:rFonts w:hint="eastAsia" w:ascii="宋体" w:hAnsi="宋体"/>
          <w:b/>
          <w:bCs/>
          <w:color w:val="auto"/>
          <w:sz w:val="24"/>
          <w:szCs w:val="20"/>
          <w:highlight w:val="none"/>
        </w:rPr>
        <w:t>（资格性审查）</w:t>
      </w:r>
    </w:p>
    <w:p w14:paraId="3B795F6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b/>
          <w:color w:val="auto"/>
          <w:sz w:val="24"/>
          <w:szCs w:val="20"/>
          <w:highlight w:val="none"/>
        </w:rPr>
      </w:pPr>
      <w:r>
        <w:rPr>
          <w:rFonts w:hint="eastAsia" w:ascii="宋体" w:hAnsi="宋体"/>
          <w:color w:val="auto"/>
          <w:sz w:val="24"/>
          <w:szCs w:val="20"/>
          <w:highlight w:val="none"/>
        </w:rPr>
        <w:t>采购人对投标人的资格进行</w:t>
      </w:r>
      <w:r>
        <w:rPr>
          <w:rFonts w:ascii="宋体" w:hAnsi="宋体"/>
          <w:color w:val="auto"/>
          <w:sz w:val="24"/>
          <w:szCs w:val="20"/>
          <w:highlight w:val="none"/>
        </w:rPr>
        <w:t>审查</w:t>
      </w:r>
      <w:r>
        <w:rPr>
          <w:rFonts w:hint="eastAsia" w:ascii="宋体" w:hAnsi="宋体"/>
          <w:color w:val="auto"/>
          <w:sz w:val="24"/>
          <w:szCs w:val="20"/>
          <w:highlight w:val="none"/>
        </w:rPr>
        <w:t>，采购人代表和代理机构工作人员协助评审小组</w:t>
      </w:r>
      <w:r>
        <w:rPr>
          <w:rFonts w:ascii="宋体" w:hAnsi="宋体"/>
          <w:color w:val="auto"/>
          <w:sz w:val="24"/>
          <w:szCs w:val="20"/>
          <w:highlight w:val="none"/>
        </w:rPr>
        <w:t>和投标文件的完整性、合法性等进行</w:t>
      </w:r>
      <w:r>
        <w:rPr>
          <w:rFonts w:hint="eastAsia" w:ascii="宋体" w:hAnsi="宋体"/>
          <w:color w:val="auto"/>
          <w:sz w:val="24"/>
          <w:szCs w:val="20"/>
          <w:highlight w:val="none"/>
        </w:rPr>
        <w:t>审查</w:t>
      </w:r>
      <w:r>
        <w:rPr>
          <w:rFonts w:ascii="宋体" w:hAnsi="宋体"/>
          <w:color w:val="auto"/>
          <w:sz w:val="24"/>
          <w:szCs w:val="20"/>
          <w:highlight w:val="none"/>
        </w:rPr>
        <w:t>。</w:t>
      </w:r>
    </w:p>
    <w:p w14:paraId="6604064A">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bCs/>
          <w:color w:val="auto"/>
          <w:sz w:val="24"/>
          <w:szCs w:val="20"/>
          <w:highlight w:val="none"/>
        </w:rPr>
      </w:pPr>
      <w:r>
        <w:rPr>
          <w:rFonts w:ascii="宋体" w:hAnsi="宋体"/>
          <w:b/>
          <w:bCs/>
          <w:color w:val="auto"/>
          <w:sz w:val="24"/>
          <w:szCs w:val="20"/>
          <w:highlight w:val="none"/>
        </w:rPr>
        <w:t>2</w:t>
      </w:r>
      <w:r>
        <w:rPr>
          <w:rFonts w:hint="eastAsia" w:ascii="宋体" w:hAnsi="宋体"/>
          <w:b/>
          <w:bCs/>
          <w:color w:val="auto"/>
          <w:sz w:val="24"/>
          <w:szCs w:val="20"/>
          <w:highlight w:val="none"/>
        </w:rPr>
        <w:t>.</w:t>
      </w:r>
      <w:r>
        <w:rPr>
          <w:rFonts w:ascii="宋体" w:hAnsi="宋体"/>
          <w:b/>
          <w:bCs/>
          <w:color w:val="auto"/>
          <w:sz w:val="24"/>
          <w:szCs w:val="20"/>
          <w:highlight w:val="none"/>
        </w:rPr>
        <w:t>实质</w:t>
      </w:r>
      <w:r>
        <w:rPr>
          <w:rFonts w:hint="eastAsia" w:ascii="宋体" w:hAnsi="宋体"/>
          <w:b/>
          <w:bCs/>
          <w:color w:val="auto"/>
          <w:sz w:val="24"/>
          <w:szCs w:val="20"/>
          <w:highlight w:val="none"/>
        </w:rPr>
        <w:t>性</w:t>
      </w:r>
      <w:r>
        <w:rPr>
          <w:rFonts w:ascii="宋体" w:hAnsi="宋体"/>
          <w:b/>
          <w:bCs/>
          <w:color w:val="auto"/>
          <w:sz w:val="24"/>
          <w:szCs w:val="20"/>
          <w:highlight w:val="none"/>
        </w:rPr>
        <w:t>审查与比较</w:t>
      </w:r>
    </w:p>
    <w:p w14:paraId="21178D9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ascii="宋体" w:hAnsi="宋体"/>
          <w:color w:val="auto"/>
          <w:sz w:val="24"/>
          <w:szCs w:val="20"/>
          <w:highlight w:val="none"/>
        </w:rPr>
        <w:t>评审</w:t>
      </w:r>
      <w:r>
        <w:rPr>
          <w:rFonts w:hint="eastAsia" w:ascii="宋体" w:hAnsi="宋体"/>
          <w:color w:val="auto"/>
          <w:sz w:val="24"/>
          <w:szCs w:val="20"/>
          <w:highlight w:val="none"/>
        </w:rPr>
        <w:t>小组</w:t>
      </w:r>
      <w:r>
        <w:rPr>
          <w:rFonts w:ascii="宋体" w:hAnsi="宋体"/>
          <w:color w:val="auto"/>
          <w:sz w:val="24"/>
          <w:szCs w:val="20"/>
          <w:highlight w:val="none"/>
        </w:rPr>
        <w:t>审查投标文件是否</w:t>
      </w:r>
      <w:r>
        <w:rPr>
          <w:rFonts w:hint="eastAsia" w:ascii="宋体" w:hAnsi="宋体"/>
          <w:color w:val="auto"/>
          <w:sz w:val="24"/>
          <w:szCs w:val="20"/>
          <w:highlight w:val="none"/>
        </w:rPr>
        <w:t>实质性响应</w:t>
      </w:r>
      <w:r>
        <w:rPr>
          <w:rFonts w:ascii="宋体" w:hAnsi="宋体"/>
          <w:color w:val="auto"/>
          <w:sz w:val="24"/>
          <w:szCs w:val="20"/>
          <w:highlight w:val="none"/>
        </w:rPr>
        <w:t>采购文件的实质性要求。</w:t>
      </w:r>
      <w:r>
        <w:rPr>
          <w:rFonts w:hint="eastAsia" w:ascii="宋体" w:hAnsi="宋体"/>
          <w:color w:val="auto"/>
          <w:sz w:val="24"/>
          <w:szCs w:val="20"/>
          <w:highlight w:val="none"/>
        </w:rPr>
        <w:t>评审小组组长组织评审人员独立评审。采购人拟认定为供应商资格不符合的或评审小组拟认定为投标文件无效的，应组织相关供应商代表进行陈述、澄清或申辩。所谓实质上响应，是指投标文件应与采购文件的所有实质性条款、条件和要求相符，无显著差异或保留，或者对合同中约定的采购人的权利和投标人的义务方面造成重大的限制，纠正这些显著差异或保留将会对其他实质上响应采购文件要求的投标文件的投标人的竞争地位产生不公正的影响。</w:t>
      </w:r>
    </w:p>
    <w:p w14:paraId="33AC833A">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bCs/>
          <w:color w:val="auto"/>
          <w:sz w:val="24"/>
          <w:szCs w:val="20"/>
          <w:highlight w:val="none"/>
        </w:rPr>
      </w:pPr>
      <w:r>
        <w:rPr>
          <w:rFonts w:hint="eastAsia" w:ascii="宋体" w:hAnsi="宋体"/>
          <w:b/>
          <w:bCs/>
          <w:color w:val="auto"/>
          <w:sz w:val="24"/>
          <w:szCs w:val="20"/>
          <w:highlight w:val="none"/>
        </w:rPr>
        <w:t>3. 投标文件的评审、比较和否决</w:t>
      </w:r>
    </w:p>
    <w:p w14:paraId="76A34C4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w:t>
      </w:r>
      <w:r>
        <w:rPr>
          <w:rFonts w:ascii="宋体" w:hAnsi="宋体"/>
          <w:color w:val="auto"/>
          <w:sz w:val="24"/>
          <w:szCs w:val="20"/>
          <w:highlight w:val="none"/>
        </w:rPr>
        <w:t>）评审</w:t>
      </w:r>
      <w:r>
        <w:rPr>
          <w:rFonts w:hint="eastAsia" w:ascii="宋体" w:hAnsi="宋体"/>
          <w:color w:val="auto"/>
          <w:sz w:val="24"/>
          <w:szCs w:val="20"/>
          <w:highlight w:val="none"/>
        </w:rPr>
        <w:t>小组</w:t>
      </w:r>
      <w:r>
        <w:rPr>
          <w:rFonts w:ascii="宋体" w:hAnsi="宋体"/>
          <w:color w:val="auto"/>
          <w:sz w:val="24"/>
          <w:szCs w:val="20"/>
          <w:highlight w:val="none"/>
        </w:rPr>
        <w:t>会将根据投标人的投标文件进行审查、核对,如有疑问,将对投标人进行询标,投标人要向评审</w:t>
      </w:r>
      <w:r>
        <w:rPr>
          <w:rFonts w:hint="eastAsia" w:ascii="宋体" w:hAnsi="宋体"/>
          <w:color w:val="auto"/>
          <w:sz w:val="24"/>
          <w:szCs w:val="20"/>
          <w:highlight w:val="none"/>
        </w:rPr>
        <w:t>小组</w:t>
      </w:r>
      <w:r>
        <w:rPr>
          <w:rFonts w:ascii="宋体" w:hAnsi="宋体"/>
          <w:color w:val="auto"/>
          <w:sz w:val="24"/>
          <w:szCs w:val="20"/>
          <w:highlight w:val="none"/>
        </w:rPr>
        <w:t>澄清有关问题,并最终以书面形式进行答复。</w:t>
      </w:r>
      <w:r>
        <w:rPr>
          <w:rFonts w:hint="eastAsia" w:ascii="宋体" w:hAnsi="宋体"/>
          <w:color w:val="auto"/>
          <w:sz w:val="24"/>
          <w:szCs w:val="20"/>
          <w:highlight w:val="none"/>
        </w:rPr>
        <w:t>投标人代表未到场或者拒绝澄清或者澄清的内容改变了投标文件的实质性内容的，评审小组有权对该投标文件作出不利于投标人的评判。</w:t>
      </w:r>
    </w:p>
    <w:p w14:paraId="0D16632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（2）在评审过程中，如属于实质性偏离或符合无效响应条件的，应当询问相关投标人，并允许其进行陈述申辩，但不允许其对偏离条款进行补充、修正或撤回。</w:t>
      </w:r>
    </w:p>
    <w:p w14:paraId="78E1C29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（3）在评审过程中，如发现投标文件同一内容前后描述不一致的，评审小组有权对其做出不利的判定。</w:t>
      </w:r>
    </w:p>
    <w:p w14:paraId="668C5456">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（4</w:t>
      </w:r>
      <w:r>
        <w:rPr>
          <w:rFonts w:ascii="宋体" w:hAnsi="宋体"/>
          <w:color w:val="auto"/>
          <w:sz w:val="24"/>
          <w:szCs w:val="20"/>
          <w:highlight w:val="none"/>
        </w:rPr>
        <w:t>）各投标人的技术</w:t>
      </w:r>
      <w:r>
        <w:rPr>
          <w:rFonts w:hint="eastAsia" w:ascii="宋体" w:hAnsi="宋体"/>
          <w:color w:val="auto"/>
          <w:sz w:val="24"/>
          <w:szCs w:val="20"/>
          <w:highlight w:val="none"/>
        </w:rPr>
        <w:t>、商务、资信（即价格分以外的其他分数总和）</w:t>
      </w:r>
      <w:r>
        <w:rPr>
          <w:rFonts w:ascii="宋体" w:hAnsi="宋体"/>
          <w:color w:val="auto"/>
          <w:sz w:val="24"/>
          <w:szCs w:val="20"/>
          <w:highlight w:val="none"/>
        </w:rPr>
        <w:t>得分为所有评委的有效评分</w:t>
      </w:r>
      <w:r>
        <w:rPr>
          <w:rFonts w:hint="eastAsia" w:ascii="宋体" w:hAnsi="宋体"/>
          <w:color w:val="auto"/>
          <w:sz w:val="24"/>
          <w:szCs w:val="20"/>
          <w:highlight w:val="none"/>
        </w:rPr>
        <w:t>汇总数</w:t>
      </w:r>
      <w:r>
        <w:rPr>
          <w:rFonts w:ascii="宋体" w:hAnsi="宋体"/>
          <w:color w:val="auto"/>
          <w:sz w:val="24"/>
          <w:szCs w:val="20"/>
          <w:highlight w:val="none"/>
        </w:rPr>
        <w:t>的算术平均数</w:t>
      </w:r>
      <w:r>
        <w:rPr>
          <w:rFonts w:hint="eastAsia" w:ascii="宋体" w:hAnsi="宋体"/>
          <w:color w:val="auto"/>
          <w:sz w:val="24"/>
          <w:szCs w:val="20"/>
          <w:highlight w:val="none"/>
        </w:rPr>
        <w:t>，</w:t>
      </w:r>
      <w:r>
        <w:rPr>
          <w:rFonts w:ascii="宋体" w:hAnsi="宋体"/>
          <w:color w:val="auto"/>
          <w:sz w:val="24"/>
          <w:szCs w:val="20"/>
          <w:highlight w:val="none"/>
        </w:rPr>
        <w:t>由指定专人进行计算复核。</w:t>
      </w:r>
    </w:p>
    <w:p w14:paraId="72531AB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（5</w:t>
      </w:r>
      <w:r>
        <w:rPr>
          <w:rFonts w:ascii="宋体" w:hAnsi="宋体"/>
          <w:color w:val="auto"/>
          <w:sz w:val="24"/>
          <w:szCs w:val="20"/>
          <w:highlight w:val="none"/>
        </w:rPr>
        <w:t>）</w:t>
      </w:r>
      <w:r>
        <w:rPr>
          <w:rFonts w:hint="eastAsia" w:ascii="宋体" w:hAnsi="宋体"/>
          <w:color w:val="auto"/>
          <w:sz w:val="24"/>
          <w:szCs w:val="20"/>
          <w:highlight w:val="none"/>
        </w:rPr>
        <w:t>代理机构工作人员协助</w:t>
      </w:r>
      <w:r>
        <w:rPr>
          <w:rFonts w:ascii="宋体" w:hAnsi="宋体"/>
          <w:color w:val="auto"/>
          <w:sz w:val="24"/>
          <w:szCs w:val="20"/>
          <w:highlight w:val="none"/>
        </w:rPr>
        <w:t>评审</w:t>
      </w:r>
      <w:r>
        <w:rPr>
          <w:rFonts w:hint="eastAsia" w:ascii="宋体" w:hAnsi="宋体"/>
          <w:color w:val="auto"/>
          <w:sz w:val="24"/>
          <w:szCs w:val="20"/>
          <w:highlight w:val="none"/>
        </w:rPr>
        <w:t>小组</w:t>
      </w:r>
      <w:r>
        <w:rPr>
          <w:rFonts w:ascii="宋体" w:hAnsi="宋体"/>
          <w:color w:val="auto"/>
          <w:sz w:val="24"/>
          <w:szCs w:val="20"/>
          <w:highlight w:val="none"/>
        </w:rPr>
        <w:t>根据</w:t>
      </w:r>
      <w:r>
        <w:rPr>
          <w:rFonts w:hint="eastAsia" w:ascii="宋体" w:hAnsi="宋体"/>
          <w:color w:val="auto"/>
          <w:sz w:val="24"/>
          <w:szCs w:val="20"/>
          <w:highlight w:val="none"/>
        </w:rPr>
        <w:t>本项目的评分标准</w:t>
      </w:r>
      <w:r>
        <w:rPr>
          <w:rFonts w:ascii="宋体" w:hAnsi="宋体"/>
          <w:color w:val="auto"/>
          <w:sz w:val="24"/>
          <w:szCs w:val="20"/>
          <w:highlight w:val="none"/>
        </w:rPr>
        <w:t>计算各投标人的商务报价得分</w:t>
      </w:r>
      <w:r>
        <w:rPr>
          <w:rFonts w:hint="eastAsia" w:ascii="宋体" w:hAnsi="宋体"/>
          <w:color w:val="auto"/>
          <w:sz w:val="24"/>
          <w:szCs w:val="20"/>
          <w:highlight w:val="none"/>
        </w:rPr>
        <w:t>。</w:t>
      </w:r>
    </w:p>
    <w:p w14:paraId="76279F71">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（6</w:t>
      </w:r>
      <w:r>
        <w:rPr>
          <w:rFonts w:ascii="宋体" w:hAnsi="宋体"/>
          <w:color w:val="auto"/>
          <w:sz w:val="24"/>
          <w:szCs w:val="20"/>
          <w:highlight w:val="none"/>
        </w:rPr>
        <w:t>）评审</w:t>
      </w:r>
      <w:r>
        <w:rPr>
          <w:rFonts w:hint="eastAsia" w:ascii="宋体" w:hAnsi="宋体"/>
          <w:color w:val="auto"/>
          <w:sz w:val="24"/>
          <w:szCs w:val="20"/>
          <w:highlight w:val="none"/>
        </w:rPr>
        <w:t>小组</w:t>
      </w:r>
      <w:r>
        <w:rPr>
          <w:rFonts w:ascii="宋体" w:hAnsi="宋体"/>
          <w:color w:val="auto"/>
          <w:sz w:val="24"/>
          <w:szCs w:val="20"/>
          <w:highlight w:val="none"/>
        </w:rPr>
        <w:t>完成评标后,</w:t>
      </w:r>
      <w:r>
        <w:rPr>
          <w:rFonts w:hint="eastAsia" w:ascii="宋体" w:hAnsi="宋体"/>
          <w:color w:val="auto"/>
          <w:sz w:val="24"/>
          <w:szCs w:val="20"/>
          <w:highlight w:val="none"/>
        </w:rPr>
        <w:t>由采购代理公司工作人员</w:t>
      </w:r>
      <w:r>
        <w:rPr>
          <w:rFonts w:ascii="宋体" w:hAnsi="宋体"/>
          <w:color w:val="auto"/>
          <w:sz w:val="24"/>
          <w:szCs w:val="20"/>
          <w:highlight w:val="none"/>
        </w:rPr>
        <w:t>对各部分得分汇总,</w:t>
      </w:r>
      <w:r>
        <w:rPr>
          <w:rFonts w:hint="eastAsia" w:ascii="宋体" w:hAnsi="宋体"/>
          <w:color w:val="auto"/>
          <w:sz w:val="24"/>
          <w:szCs w:val="20"/>
          <w:highlight w:val="none"/>
        </w:rPr>
        <w:t>计算</w:t>
      </w:r>
      <w:r>
        <w:rPr>
          <w:rFonts w:ascii="宋体" w:hAnsi="宋体"/>
          <w:color w:val="auto"/>
          <w:sz w:val="24"/>
          <w:szCs w:val="20"/>
          <w:highlight w:val="none"/>
        </w:rPr>
        <w:t>出本项目</w:t>
      </w:r>
      <w:r>
        <w:rPr>
          <w:rFonts w:hint="eastAsia" w:ascii="宋体" w:hAnsi="宋体"/>
          <w:color w:val="auto"/>
          <w:sz w:val="24"/>
          <w:szCs w:val="20"/>
          <w:highlight w:val="none"/>
        </w:rPr>
        <w:t>最终得分</w:t>
      </w:r>
      <w:r>
        <w:rPr>
          <w:rFonts w:ascii="宋体" w:hAnsi="宋体"/>
          <w:color w:val="auto"/>
          <w:sz w:val="24"/>
          <w:szCs w:val="20"/>
          <w:highlight w:val="none"/>
        </w:rPr>
        <w:t>。评审</w:t>
      </w:r>
      <w:r>
        <w:rPr>
          <w:rFonts w:hint="eastAsia" w:ascii="宋体" w:hAnsi="宋体"/>
          <w:color w:val="auto"/>
          <w:sz w:val="24"/>
          <w:szCs w:val="20"/>
          <w:highlight w:val="none"/>
        </w:rPr>
        <w:t>小组</w:t>
      </w:r>
      <w:r>
        <w:rPr>
          <w:rFonts w:ascii="宋体" w:hAnsi="宋体"/>
          <w:color w:val="auto"/>
          <w:sz w:val="24"/>
          <w:szCs w:val="20"/>
          <w:highlight w:val="none"/>
        </w:rPr>
        <w:t>按评标原则</w:t>
      </w:r>
      <w:r>
        <w:rPr>
          <w:rFonts w:hint="eastAsia" w:ascii="宋体" w:hAnsi="宋体"/>
          <w:color w:val="auto"/>
          <w:sz w:val="24"/>
          <w:szCs w:val="20"/>
          <w:highlight w:val="none"/>
        </w:rPr>
        <w:t>向采购代理公司提交书面评标报告，并推荐合格的中标候选人。</w:t>
      </w:r>
    </w:p>
    <w:p w14:paraId="74A440AA">
      <w:pPr>
        <w:keepNext w:val="0"/>
        <w:keepLines w:val="0"/>
        <w:pageBreakBefore w:val="0"/>
        <w:kinsoku/>
        <w:wordWrap/>
        <w:overflowPunct/>
        <w:topLinePunct w:val="0"/>
        <w:bidi w:val="0"/>
        <w:adjustRightInd/>
        <w:snapToGrid w:val="0"/>
        <w:spacing w:line="400" w:lineRule="exact"/>
        <w:ind w:left="0" w:leftChars="0" w:firstLine="482" w:firstLineChars="200"/>
        <w:rPr>
          <w:rFonts w:hint="eastAsia" w:ascii="宋体" w:hAnsi="宋体"/>
          <w:b/>
          <w:color w:val="auto"/>
          <w:sz w:val="24"/>
          <w:szCs w:val="20"/>
          <w:highlight w:val="none"/>
        </w:rPr>
      </w:pPr>
      <w:r>
        <w:rPr>
          <w:rFonts w:hint="eastAsia" w:ascii="宋体" w:hAnsi="宋体"/>
          <w:b/>
          <w:color w:val="auto"/>
          <w:sz w:val="24"/>
          <w:szCs w:val="20"/>
          <w:highlight w:val="none"/>
        </w:rPr>
        <w:t>（五）澄清问题的形式</w:t>
      </w:r>
    </w:p>
    <w:p w14:paraId="39F43B4E">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对投标文件中含义不明确、同类问题表述不一致或者有明显文字和计算错误的内容，评审小组应当要求投标人作出必要的澄清、说明或者纠正。投标人的澄清、说明或者补正应当采用书面形式，由其授权代表签字或盖章确认，并不得超出投标文件的范围或者改变投标文件的实质性内容。</w:t>
      </w:r>
    </w:p>
    <w:p w14:paraId="575F1ED7">
      <w:pPr>
        <w:keepNext w:val="0"/>
        <w:keepLines w:val="0"/>
        <w:pageBreakBefore w:val="0"/>
        <w:kinsoku/>
        <w:wordWrap/>
        <w:overflowPunct/>
        <w:topLinePunct w:val="0"/>
        <w:bidi w:val="0"/>
        <w:adjustRightInd/>
        <w:snapToGrid w:val="0"/>
        <w:spacing w:line="400" w:lineRule="exact"/>
        <w:ind w:left="0" w:leftChars="0" w:firstLine="482" w:firstLineChars="200"/>
        <w:rPr>
          <w:rFonts w:hint="eastAsia" w:ascii="宋体" w:hAnsi="宋体"/>
          <w:b/>
          <w:color w:val="auto"/>
          <w:sz w:val="24"/>
          <w:szCs w:val="20"/>
          <w:highlight w:val="none"/>
        </w:rPr>
      </w:pPr>
      <w:r>
        <w:rPr>
          <w:rFonts w:hint="eastAsia" w:ascii="宋体" w:hAnsi="宋体"/>
          <w:b/>
          <w:color w:val="auto"/>
          <w:sz w:val="24"/>
          <w:szCs w:val="20"/>
          <w:highlight w:val="none"/>
        </w:rPr>
        <w:t>（六）错误修正</w:t>
      </w:r>
    </w:p>
    <w:p w14:paraId="0A097D11">
      <w:pPr>
        <w:keepNext w:val="0"/>
        <w:keepLines w:val="0"/>
        <w:pageBreakBefore w:val="0"/>
        <w:kinsoku/>
        <w:wordWrap/>
        <w:overflowPunct/>
        <w:topLinePunct w:val="0"/>
        <w:bidi w:val="0"/>
        <w:adjustRightInd/>
        <w:snapToGrid w:val="0"/>
        <w:spacing w:line="400" w:lineRule="exact"/>
        <w:ind w:left="240" w:leftChars="0" w:hanging="240" w:hangingChars="100"/>
        <w:rPr>
          <w:rFonts w:hint="eastAsia" w:ascii="宋体" w:hAnsi="宋体"/>
          <w:color w:val="auto"/>
          <w:sz w:val="24"/>
          <w:highlight w:val="none"/>
        </w:rPr>
      </w:pPr>
      <w:r>
        <w:rPr>
          <w:rFonts w:ascii="宋体" w:hAnsi="宋体"/>
          <w:color w:val="auto"/>
          <w:sz w:val="24"/>
          <w:highlight w:val="none"/>
        </w:rPr>
        <w:t>投标文件如果出现计算或表达上的错误，修正错误的原则如下：</w:t>
      </w:r>
    </w:p>
    <w:p w14:paraId="24476E73">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s="Arial"/>
          <w:color w:val="auto"/>
          <w:kern w:val="0"/>
          <w:sz w:val="24"/>
          <w:szCs w:val="20"/>
          <w:highlight w:val="none"/>
        </w:rPr>
      </w:pPr>
      <w:r>
        <w:rPr>
          <w:rFonts w:ascii="宋体" w:hAnsi="宋体"/>
          <w:color w:val="auto"/>
          <w:sz w:val="24"/>
          <w:szCs w:val="20"/>
          <w:highlight w:val="none"/>
        </w:rPr>
        <w:t>1</w:t>
      </w:r>
      <w:r>
        <w:rPr>
          <w:rFonts w:hint="eastAsia" w:ascii="宋体" w:hAnsi="宋体"/>
          <w:color w:val="auto"/>
          <w:sz w:val="24"/>
          <w:szCs w:val="20"/>
          <w:highlight w:val="none"/>
        </w:rPr>
        <w:t>.开标一览表总价与投标报价明细表汇总数不一致的，</w:t>
      </w:r>
      <w:r>
        <w:rPr>
          <w:rFonts w:hint="eastAsia" w:ascii="宋体" w:hAnsi="宋体" w:cs="Arial"/>
          <w:color w:val="auto"/>
          <w:kern w:val="0"/>
          <w:sz w:val="24"/>
          <w:szCs w:val="20"/>
          <w:highlight w:val="none"/>
        </w:rPr>
        <w:t>以开标一览表为准；</w:t>
      </w:r>
    </w:p>
    <w:p w14:paraId="5BA64DD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w:t>
      </w:r>
      <w:r>
        <w:rPr>
          <w:rFonts w:ascii="宋体" w:hAnsi="宋体"/>
          <w:color w:val="auto"/>
          <w:sz w:val="24"/>
          <w:highlight w:val="none"/>
        </w:rPr>
        <w:t>投标文件的大写金额和小写金额不一致的，以大写金额为准</w:t>
      </w:r>
      <w:r>
        <w:rPr>
          <w:rFonts w:hint="eastAsia" w:ascii="宋体" w:hAnsi="宋体"/>
          <w:color w:val="auto"/>
          <w:sz w:val="24"/>
          <w:highlight w:val="none"/>
        </w:rPr>
        <w:t>；</w:t>
      </w:r>
    </w:p>
    <w:p w14:paraId="2D5B170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3</w:t>
      </w:r>
      <w:r>
        <w:rPr>
          <w:rFonts w:hint="eastAsia" w:ascii="宋体" w:hAnsi="宋体"/>
          <w:color w:val="auto"/>
          <w:sz w:val="24"/>
          <w:highlight w:val="none"/>
        </w:rPr>
        <w:t>.</w:t>
      </w:r>
      <w:r>
        <w:rPr>
          <w:rFonts w:ascii="宋体" w:hAnsi="宋体"/>
          <w:color w:val="auto"/>
          <w:sz w:val="24"/>
          <w:highlight w:val="none"/>
        </w:rPr>
        <w:t>总价金额与按单价汇总金额不一致的，以单价金额计算结果为准</w:t>
      </w:r>
      <w:r>
        <w:rPr>
          <w:rFonts w:hint="eastAsia" w:ascii="宋体" w:hAnsi="宋体"/>
          <w:color w:val="auto"/>
          <w:sz w:val="24"/>
          <w:highlight w:val="none"/>
        </w:rPr>
        <w:t>；</w:t>
      </w:r>
    </w:p>
    <w:p w14:paraId="5D52363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4</w:t>
      </w:r>
      <w:r>
        <w:rPr>
          <w:rFonts w:hint="eastAsia" w:ascii="宋体" w:hAnsi="宋体"/>
          <w:color w:val="auto"/>
          <w:sz w:val="24"/>
          <w:highlight w:val="none"/>
        </w:rPr>
        <w:t>.单价金额小数点有明显错位的，应以总价为准，并修改单价；</w:t>
      </w:r>
    </w:p>
    <w:p w14:paraId="7397F78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5.</w:t>
      </w:r>
      <w:r>
        <w:rPr>
          <w:rFonts w:ascii="宋体" w:hAnsi="宋体"/>
          <w:color w:val="auto"/>
          <w:sz w:val="24"/>
          <w:highlight w:val="none"/>
        </w:rPr>
        <w:t>对不同文字文本投标文件的解释发生异议的，以中文文本为准。</w:t>
      </w:r>
    </w:p>
    <w:p w14:paraId="5CD4FF6C">
      <w:pPr>
        <w:keepNext w:val="0"/>
        <w:keepLines w:val="0"/>
        <w:pageBreakBefore w:val="0"/>
        <w:kinsoku/>
        <w:wordWrap/>
        <w:overflowPunct/>
        <w:topLinePunct w:val="0"/>
        <w:bidi w:val="0"/>
        <w:adjustRightInd/>
        <w:snapToGrid w:val="0"/>
        <w:spacing w:line="400" w:lineRule="exact"/>
        <w:ind w:left="0" w:leftChars="0" w:firstLine="482" w:firstLineChars="200"/>
        <w:rPr>
          <w:rFonts w:hint="eastAsia" w:ascii="宋体" w:hAnsi="宋体"/>
          <w:b/>
          <w:bCs/>
          <w:color w:val="auto"/>
          <w:sz w:val="24"/>
          <w:highlight w:val="none"/>
        </w:rPr>
      </w:pPr>
      <w:r>
        <w:rPr>
          <w:rFonts w:ascii="宋体" w:hAnsi="宋体"/>
          <w:b/>
          <w:bCs/>
          <w:color w:val="auto"/>
          <w:sz w:val="24"/>
          <w:highlight w:val="none"/>
        </w:rPr>
        <w:t>按上述修正错误的原则及方法调整或修正投标文件的投标报价，投标人同意</w:t>
      </w:r>
      <w:r>
        <w:rPr>
          <w:rFonts w:hint="eastAsia" w:ascii="宋体" w:hAnsi="宋体"/>
          <w:b/>
          <w:bCs/>
          <w:color w:val="auto"/>
          <w:sz w:val="24"/>
          <w:highlight w:val="none"/>
        </w:rPr>
        <w:t>并签字确认</w:t>
      </w:r>
      <w:r>
        <w:rPr>
          <w:rFonts w:ascii="宋体" w:hAnsi="宋体"/>
          <w:b/>
          <w:bCs/>
          <w:color w:val="auto"/>
          <w:sz w:val="24"/>
          <w:highlight w:val="none"/>
        </w:rPr>
        <w:t>后，调整后的投标报价对投标人具有约束作用。如果投标人不接受修正后的报价，则其投标将</w:t>
      </w:r>
      <w:r>
        <w:rPr>
          <w:rFonts w:hint="eastAsia" w:ascii="宋体" w:hAnsi="宋体"/>
          <w:b/>
          <w:bCs/>
          <w:color w:val="auto"/>
          <w:sz w:val="24"/>
          <w:highlight w:val="none"/>
        </w:rPr>
        <w:t>作为无效投标处理</w:t>
      </w:r>
      <w:r>
        <w:rPr>
          <w:rFonts w:ascii="宋体" w:hAnsi="宋体"/>
          <w:b/>
          <w:bCs/>
          <w:color w:val="auto"/>
          <w:sz w:val="24"/>
          <w:highlight w:val="none"/>
        </w:rPr>
        <w:t>。</w:t>
      </w:r>
    </w:p>
    <w:p w14:paraId="129F97EA">
      <w:pPr>
        <w:keepNext w:val="0"/>
        <w:keepLines w:val="0"/>
        <w:pageBreakBefore w:val="0"/>
        <w:tabs>
          <w:tab w:val="left" w:pos="630"/>
        </w:tabs>
        <w:kinsoku/>
        <w:wordWrap/>
        <w:overflowPunct/>
        <w:topLinePunct w:val="0"/>
        <w:bidi w:val="0"/>
        <w:adjustRightInd/>
        <w:snapToGrid w:val="0"/>
        <w:spacing w:line="400" w:lineRule="exact"/>
        <w:ind w:left="0" w:leftChars="0" w:firstLine="472" w:firstLineChars="196"/>
        <w:rPr>
          <w:rFonts w:hint="eastAsia" w:ascii="宋体" w:hAnsi="宋体"/>
          <w:b/>
          <w:color w:val="auto"/>
          <w:sz w:val="24"/>
          <w:highlight w:val="none"/>
        </w:rPr>
      </w:pPr>
      <w:r>
        <w:rPr>
          <w:rFonts w:ascii="宋体" w:hAnsi="宋体"/>
          <w:b/>
          <w:color w:val="auto"/>
          <w:sz w:val="24"/>
          <w:highlight w:val="none"/>
        </w:rPr>
        <w:t>（七）评标原则和评标办法</w:t>
      </w:r>
    </w:p>
    <w:p w14:paraId="285A470D">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w:t>
      </w:r>
      <w:r>
        <w:rPr>
          <w:rFonts w:ascii="宋体" w:hAnsi="宋体"/>
          <w:color w:val="auto"/>
          <w:sz w:val="24"/>
          <w:highlight w:val="none"/>
        </w:rPr>
        <w:t>评标原则。评审</w:t>
      </w:r>
      <w:r>
        <w:rPr>
          <w:rFonts w:hint="eastAsia" w:ascii="宋体" w:hAnsi="宋体"/>
          <w:color w:val="auto"/>
          <w:sz w:val="24"/>
          <w:highlight w:val="none"/>
        </w:rPr>
        <w:t>小组</w:t>
      </w:r>
      <w:r>
        <w:rPr>
          <w:rFonts w:ascii="宋体" w:hAnsi="宋体"/>
          <w:color w:val="auto"/>
          <w:sz w:val="24"/>
          <w:highlight w:val="none"/>
        </w:rPr>
        <w:t>必须公平、公正、客观，不带任何倾向性和启发性</w:t>
      </w:r>
      <w:r>
        <w:rPr>
          <w:rFonts w:hint="eastAsia" w:ascii="宋体" w:hAnsi="宋体"/>
          <w:color w:val="auto"/>
          <w:sz w:val="24"/>
          <w:highlight w:val="none"/>
        </w:rPr>
        <w:t>；</w:t>
      </w:r>
      <w:r>
        <w:rPr>
          <w:rFonts w:ascii="宋体" w:hAnsi="宋体"/>
          <w:color w:val="auto"/>
          <w:sz w:val="24"/>
          <w:highlight w:val="none"/>
        </w:rPr>
        <w:t>不得向外界透露任何与评标有关的内容</w:t>
      </w:r>
      <w:r>
        <w:rPr>
          <w:rFonts w:hint="eastAsia" w:ascii="宋体" w:hAnsi="宋体"/>
          <w:color w:val="auto"/>
          <w:sz w:val="24"/>
          <w:highlight w:val="none"/>
        </w:rPr>
        <w:t>；</w:t>
      </w:r>
      <w:r>
        <w:rPr>
          <w:rFonts w:ascii="宋体" w:hAnsi="宋体"/>
          <w:color w:val="auto"/>
          <w:sz w:val="24"/>
          <w:highlight w:val="none"/>
        </w:rPr>
        <w:t>任何单位和个人不得干扰、影响评标的正常进行</w:t>
      </w:r>
      <w:r>
        <w:rPr>
          <w:rFonts w:hint="eastAsia" w:ascii="宋体" w:hAnsi="宋体"/>
          <w:color w:val="auto"/>
          <w:sz w:val="24"/>
          <w:highlight w:val="none"/>
        </w:rPr>
        <w:t>；</w:t>
      </w:r>
      <w:r>
        <w:rPr>
          <w:rFonts w:ascii="宋体" w:hAnsi="宋体"/>
          <w:color w:val="auto"/>
          <w:sz w:val="24"/>
          <w:highlight w:val="none"/>
        </w:rPr>
        <w:t>评审</w:t>
      </w:r>
      <w:r>
        <w:rPr>
          <w:rFonts w:hint="eastAsia" w:ascii="宋体" w:hAnsi="宋体"/>
          <w:color w:val="auto"/>
          <w:sz w:val="24"/>
          <w:highlight w:val="none"/>
        </w:rPr>
        <w:t>小组</w:t>
      </w:r>
      <w:r>
        <w:rPr>
          <w:rFonts w:ascii="宋体" w:hAnsi="宋体"/>
          <w:color w:val="auto"/>
          <w:sz w:val="24"/>
          <w:highlight w:val="none"/>
        </w:rPr>
        <w:t>及有关工作人员不得私下与投标人接触。</w:t>
      </w:r>
    </w:p>
    <w:p w14:paraId="358AE2E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w:t>
      </w:r>
      <w:r>
        <w:rPr>
          <w:rFonts w:ascii="宋体" w:hAnsi="宋体"/>
          <w:color w:val="auto"/>
          <w:sz w:val="24"/>
          <w:highlight w:val="none"/>
        </w:rPr>
        <w:t>评标办法。本项目评标办法是</w:t>
      </w:r>
      <w:r>
        <w:rPr>
          <w:rFonts w:hint="eastAsia" w:ascii="宋体" w:hAnsi="宋体"/>
          <w:color w:val="auto"/>
          <w:sz w:val="24"/>
          <w:highlight w:val="none"/>
          <w:u w:val="single"/>
        </w:rPr>
        <w:t>综合评分法</w:t>
      </w:r>
      <w:r>
        <w:rPr>
          <w:rFonts w:ascii="宋体" w:hAnsi="宋体"/>
          <w:color w:val="auto"/>
          <w:sz w:val="24"/>
          <w:highlight w:val="none"/>
        </w:rPr>
        <w:t>，具体评标内容及评分标准等详见《第四章：评标办法及评分标准》。</w:t>
      </w:r>
    </w:p>
    <w:p w14:paraId="6CF8B3B4">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color w:val="auto"/>
          <w:sz w:val="24"/>
          <w:highlight w:val="none"/>
        </w:rPr>
      </w:pPr>
      <w:r>
        <w:rPr>
          <w:rFonts w:ascii="宋体" w:hAnsi="宋体"/>
          <w:b/>
          <w:color w:val="auto"/>
          <w:sz w:val="24"/>
          <w:highlight w:val="none"/>
        </w:rPr>
        <w:t>（八）评标过程的监控</w:t>
      </w:r>
    </w:p>
    <w:p w14:paraId="490CA56D">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投标人在评标过程中所进行的试图影响评标结果的不公正活动，可能导致其投标被拒绝。</w:t>
      </w:r>
    </w:p>
    <w:p w14:paraId="09B2BE51">
      <w:pPr>
        <w:keepNext w:val="0"/>
        <w:keepLines w:val="0"/>
        <w:pageBreakBefore w:val="0"/>
        <w:widowControl w:val="0"/>
        <w:kinsoku/>
        <w:wordWrap/>
        <w:overflowPunct/>
        <w:topLinePunct w:val="0"/>
        <w:autoSpaceDE/>
        <w:autoSpaceDN/>
        <w:bidi w:val="0"/>
        <w:adjustRightInd/>
        <w:snapToGrid w:val="0"/>
        <w:spacing w:line="380" w:lineRule="exact"/>
        <w:ind w:left="0" w:leftChars="0" w:firstLine="551" w:firstLineChars="196"/>
        <w:textAlignment w:val="auto"/>
        <w:rPr>
          <w:rFonts w:hint="eastAsia" w:ascii="宋体" w:hAnsi="宋体"/>
          <w:b/>
          <w:color w:val="auto"/>
          <w:sz w:val="28"/>
          <w:szCs w:val="28"/>
          <w:highlight w:val="none"/>
        </w:rPr>
      </w:pPr>
      <w:r>
        <w:rPr>
          <w:rFonts w:hint="eastAsia" w:ascii="宋体" w:hAnsi="宋体"/>
          <w:b/>
          <w:color w:val="auto"/>
          <w:sz w:val="28"/>
          <w:szCs w:val="28"/>
          <w:highlight w:val="none"/>
        </w:rPr>
        <w:t>六、废标</w:t>
      </w:r>
    </w:p>
    <w:p w14:paraId="0CE63A66">
      <w:pPr>
        <w:keepNext w:val="0"/>
        <w:keepLines w:val="0"/>
        <w:pageBreakBefore w:val="0"/>
        <w:widowControl w:val="0"/>
        <w:kinsoku/>
        <w:wordWrap/>
        <w:overflowPunct/>
        <w:topLinePunct w:val="0"/>
        <w:autoSpaceDE/>
        <w:autoSpaceDN/>
        <w:bidi w:val="0"/>
        <w:adjustRightInd/>
        <w:spacing w:line="380" w:lineRule="exact"/>
        <w:ind w:left="0" w:leftChars="0" w:firstLine="482" w:firstLineChars="200"/>
        <w:textAlignment w:val="auto"/>
        <w:rPr>
          <w:rFonts w:hint="eastAsia" w:ascii="宋体" w:hAnsi="宋体"/>
          <w:b/>
          <w:bCs/>
          <w:color w:val="auto"/>
          <w:sz w:val="24"/>
          <w:highlight w:val="none"/>
        </w:rPr>
      </w:pPr>
      <w:r>
        <w:rPr>
          <w:rFonts w:hint="eastAsia" w:ascii="宋体" w:hAnsi="宋体"/>
          <w:b/>
          <w:bCs/>
          <w:color w:val="auto"/>
          <w:sz w:val="24"/>
          <w:highlight w:val="none"/>
        </w:rPr>
        <w:t>在招标采购中，出现下列情形之一的，应予废标（法律、法规、规章、省级及以上监管部门规定以及第二次重新采购的情形除外），并由评审小组出具废标报告：</w:t>
      </w:r>
    </w:p>
    <w:p w14:paraId="69272798">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1.符合专业条件的供应商或者对采购文件作实质响应的供应商不足三家的；</w:t>
      </w:r>
    </w:p>
    <w:p w14:paraId="278C3AF2">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2.出现影响采购公正的违法、违规行为的；</w:t>
      </w:r>
    </w:p>
    <w:p w14:paraId="7EF9C351">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3.因重大变故，采购任务取消的;</w:t>
      </w:r>
    </w:p>
    <w:p w14:paraId="61DB8552">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4.投标人的报价均超采购预算的，采购人不能支付的。</w:t>
      </w:r>
    </w:p>
    <w:p w14:paraId="73CB98ED">
      <w:pPr>
        <w:keepNext w:val="0"/>
        <w:keepLines w:val="0"/>
        <w:pageBreakBefore w:val="0"/>
        <w:widowControl w:val="0"/>
        <w:kinsoku/>
        <w:wordWrap/>
        <w:overflowPunct/>
        <w:topLinePunct w:val="0"/>
        <w:autoSpaceDE/>
        <w:autoSpaceDN/>
        <w:bidi w:val="0"/>
        <w:adjustRightInd/>
        <w:snapToGrid w:val="0"/>
        <w:spacing w:line="380" w:lineRule="exact"/>
        <w:ind w:left="0" w:leftChars="0" w:firstLine="551" w:firstLineChars="196"/>
        <w:textAlignment w:val="auto"/>
        <w:rPr>
          <w:rFonts w:hint="eastAsia" w:ascii="宋体" w:hAnsi="宋体"/>
          <w:b/>
          <w:color w:val="auto"/>
          <w:sz w:val="28"/>
          <w:szCs w:val="28"/>
          <w:highlight w:val="none"/>
        </w:rPr>
      </w:pPr>
      <w:r>
        <w:rPr>
          <w:rFonts w:hint="eastAsia" w:ascii="宋体" w:hAnsi="宋体"/>
          <w:b/>
          <w:color w:val="auto"/>
          <w:sz w:val="28"/>
          <w:szCs w:val="28"/>
          <w:highlight w:val="none"/>
        </w:rPr>
        <w:t>七、定标</w:t>
      </w:r>
    </w:p>
    <w:p w14:paraId="66670A06">
      <w:pPr>
        <w:keepNext w:val="0"/>
        <w:keepLines w:val="0"/>
        <w:pageBreakBefore w:val="0"/>
        <w:widowControl w:val="0"/>
        <w:kinsoku/>
        <w:wordWrap/>
        <w:overflowPunct/>
        <w:topLinePunct w:val="0"/>
        <w:autoSpaceDE/>
        <w:autoSpaceDN/>
        <w:bidi w:val="0"/>
        <w:adjustRightInd/>
        <w:snapToGrid w:val="0"/>
        <w:spacing w:line="380" w:lineRule="exact"/>
        <w:ind w:left="0" w:leftChars="0" w:firstLine="472" w:firstLineChars="196"/>
        <w:textAlignment w:val="auto"/>
        <w:outlineLvl w:val="1"/>
        <w:rPr>
          <w:rFonts w:hint="eastAsia" w:ascii="宋体" w:hAnsi="宋体"/>
          <w:b/>
          <w:color w:val="auto"/>
          <w:sz w:val="24"/>
          <w:highlight w:val="none"/>
        </w:rPr>
      </w:pPr>
      <w:r>
        <w:rPr>
          <w:rFonts w:hint="eastAsia" w:ascii="宋体" w:hAnsi="宋体"/>
          <w:b/>
          <w:color w:val="auto"/>
          <w:sz w:val="24"/>
          <w:highlight w:val="none"/>
        </w:rPr>
        <w:t>本项目由经采购人授权的评审小组确定中标候选人，再由采购人对采购结果进行确认，但法律法规及规章、制度有其他规定的情形除外。</w:t>
      </w:r>
    </w:p>
    <w:p w14:paraId="1E26F21E">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szCs w:val="20"/>
          <w:highlight w:val="none"/>
        </w:rPr>
      </w:pPr>
      <w:r>
        <w:rPr>
          <w:rFonts w:ascii="宋体" w:hAnsi="宋体"/>
          <w:color w:val="auto"/>
          <w:sz w:val="24"/>
          <w:szCs w:val="20"/>
          <w:highlight w:val="none"/>
        </w:rPr>
        <w:t>1</w:t>
      </w:r>
      <w:r>
        <w:rPr>
          <w:rFonts w:hint="eastAsia" w:ascii="宋体" w:hAnsi="宋体"/>
          <w:color w:val="auto"/>
          <w:sz w:val="24"/>
          <w:szCs w:val="20"/>
          <w:highlight w:val="none"/>
        </w:rPr>
        <w:t>.</w:t>
      </w:r>
      <w:r>
        <w:rPr>
          <w:rFonts w:ascii="宋体" w:hAnsi="宋体"/>
          <w:color w:val="auto"/>
          <w:sz w:val="24"/>
          <w:szCs w:val="20"/>
          <w:highlight w:val="none"/>
        </w:rPr>
        <w:t xml:space="preserve"> 采购代理公司在评标结束后</w:t>
      </w:r>
      <w:r>
        <w:rPr>
          <w:rFonts w:hint="eastAsia" w:ascii="宋体" w:hAnsi="宋体"/>
          <w:color w:val="auto"/>
          <w:sz w:val="24"/>
          <w:szCs w:val="20"/>
          <w:highlight w:val="none"/>
        </w:rPr>
        <w:t>当场</w:t>
      </w:r>
      <w:r>
        <w:rPr>
          <w:rFonts w:ascii="宋体" w:hAnsi="宋体"/>
          <w:color w:val="auto"/>
          <w:sz w:val="24"/>
          <w:szCs w:val="20"/>
          <w:highlight w:val="none"/>
        </w:rPr>
        <w:t>将评标报告交采购人确认，</w:t>
      </w:r>
      <w:r>
        <w:rPr>
          <w:rFonts w:hint="eastAsia" w:ascii="宋体" w:hAnsi="宋体"/>
          <w:color w:val="auto"/>
          <w:sz w:val="24"/>
          <w:szCs w:val="20"/>
          <w:highlight w:val="none"/>
        </w:rPr>
        <w:t>并在2个工作日内</w:t>
      </w:r>
      <w:r>
        <w:rPr>
          <w:rFonts w:ascii="宋体" w:hAnsi="宋体"/>
          <w:color w:val="auto"/>
          <w:sz w:val="24"/>
          <w:szCs w:val="20"/>
          <w:highlight w:val="none"/>
        </w:rPr>
        <w:t>在发布招标公告的网站上对评标结果进行公示。</w:t>
      </w:r>
    </w:p>
    <w:p w14:paraId="5144BF36">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b w:val="0"/>
          <w:bCs/>
          <w:color w:val="auto"/>
          <w:sz w:val="24"/>
          <w:szCs w:val="20"/>
          <w:highlight w:val="none"/>
        </w:rPr>
      </w:pPr>
      <w:r>
        <w:rPr>
          <w:rFonts w:ascii="宋体" w:hAnsi="宋体"/>
          <w:color w:val="auto"/>
          <w:sz w:val="24"/>
          <w:szCs w:val="20"/>
          <w:highlight w:val="none"/>
        </w:rPr>
        <w:t>2</w:t>
      </w:r>
      <w:r>
        <w:rPr>
          <w:rFonts w:hint="eastAsia" w:ascii="宋体" w:hAnsi="宋体"/>
          <w:color w:val="auto"/>
          <w:sz w:val="24"/>
          <w:szCs w:val="20"/>
          <w:highlight w:val="none"/>
        </w:rPr>
        <w:t>.</w:t>
      </w:r>
      <w:r>
        <w:rPr>
          <w:rFonts w:ascii="宋体" w:hAnsi="宋体"/>
          <w:color w:val="auto"/>
          <w:sz w:val="24"/>
          <w:szCs w:val="20"/>
          <w:highlight w:val="none"/>
        </w:rPr>
        <w:t xml:space="preserve"> 投标人对评标结果无异议的，采购人应在收到评标报告后</w:t>
      </w:r>
      <w:r>
        <w:rPr>
          <w:rFonts w:hint="eastAsia" w:ascii="宋体" w:hAnsi="宋体"/>
          <w:color w:val="auto"/>
          <w:sz w:val="24"/>
          <w:szCs w:val="20"/>
          <w:highlight w:val="none"/>
        </w:rPr>
        <w:t>2</w:t>
      </w:r>
      <w:r>
        <w:rPr>
          <w:rFonts w:ascii="宋体" w:hAnsi="宋体"/>
          <w:color w:val="auto"/>
          <w:sz w:val="24"/>
          <w:szCs w:val="20"/>
          <w:highlight w:val="none"/>
        </w:rPr>
        <w:t>个工作日内对评标结果进行确认。</w:t>
      </w:r>
      <w:r>
        <w:rPr>
          <w:rFonts w:hint="eastAsia" w:ascii="宋体" w:hAnsi="宋体"/>
          <w:color w:val="auto"/>
          <w:sz w:val="24"/>
          <w:szCs w:val="20"/>
          <w:highlight w:val="none"/>
        </w:rPr>
        <w:t>各投标人对评标结果如有异议，可在规定时间内以书面形式向招标人进行署名投诉或提出质疑，但需对投诉或质疑内容的真实性承担法律责任。</w:t>
      </w:r>
      <w:r>
        <w:rPr>
          <w:rFonts w:hint="eastAsia" w:ascii="宋体" w:hAnsi="宋体"/>
          <w:b w:val="0"/>
          <w:bCs/>
          <w:color w:val="auto"/>
          <w:sz w:val="24"/>
          <w:szCs w:val="20"/>
          <w:highlight w:val="none"/>
        </w:rPr>
        <w:t>如有恶意质疑、投诉，且导致授予合同的期限延期的，将没收其投标保证金（如有），并将其列入不诚信供应商名单，在今后参加采购活动评标时，给予扣分处理。情节严重的将直接进入黑名单。</w:t>
      </w:r>
    </w:p>
    <w:p w14:paraId="713709D9">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szCs w:val="20"/>
          <w:highlight w:val="none"/>
        </w:rPr>
      </w:pPr>
      <w:r>
        <w:rPr>
          <w:rFonts w:hint="eastAsia" w:ascii="宋体" w:hAnsi="宋体"/>
          <w:color w:val="auto"/>
          <w:sz w:val="24"/>
          <w:szCs w:val="20"/>
          <w:highlight w:val="none"/>
        </w:rPr>
        <w:t>3.采购人依法确定中标人后</w:t>
      </w:r>
      <w:r>
        <w:rPr>
          <w:rFonts w:ascii="宋体" w:hAnsi="宋体"/>
          <w:color w:val="auto"/>
          <w:sz w:val="24"/>
          <w:szCs w:val="20"/>
          <w:highlight w:val="none"/>
        </w:rPr>
        <w:t>，</w:t>
      </w:r>
      <w:r>
        <w:rPr>
          <w:rFonts w:hint="eastAsia" w:ascii="宋体" w:hAnsi="宋体"/>
          <w:color w:val="auto"/>
          <w:sz w:val="24"/>
          <w:szCs w:val="20"/>
          <w:highlight w:val="none"/>
        </w:rPr>
        <w:t>中标候选人公示3天。中标候选人公示无异议后发布中标结果公告及</w:t>
      </w:r>
      <w:r>
        <w:rPr>
          <w:rFonts w:ascii="宋体" w:hAnsi="宋体"/>
          <w:color w:val="auto"/>
          <w:sz w:val="24"/>
          <w:szCs w:val="20"/>
          <w:highlight w:val="none"/>
        </w:rPr>
        <w:t>中标通知书</w:t>
      </w:r>
      <w:r>
        <w:rPr>
          <w:rFonts w:hint="eastAsia" w:ascii="宋体" w:hAnsi="宋体"/>
          <w:color w:val="auto"/>
          <w:sz w:val="24"/>
          <w:szCs w:val="20"/>
          <w:highlight w:val="none"/>
        </w:rPr>
        <w:t>，中标人应在中标公告发出10个工作日内前往代理机构领取通知书，若有质疑投诉的可在质疑投诉处理后领取。</w:t>
      </w:r>
    </w:p>
    <w:p w14:paraId="3D4B71FA">
      <w:pPr>
        <w:keepNext w:val="0"/>
        <w:keepLines w:val="0"/>
        <w:pageBreakBefore w:val="0"/>
        <w:widowControl w:val="0"/>
        <w:kinsoku/>
        <w:wordWrap/>
        <w:overflowPunct/>
        <w:topLinePunct w:val="0"/>
        <w:autoSpaceDE/>
        <w:autoSpaceDN/>
        <w:bidi w:val="0"/>
        <w:adjustRightInd/>
        <w:snapToGrid w:val="0"/>
        <w:spacing w:line="380" w:lineRule="exact"/>
        <w:ind w:left="0" w:leftChars="0" w:firstLine="482" w:firstLineChars="200"/>
        <w:textAlignment w:val="auto"/>
        <w:rPr>
          <w:rFonts w:hint="eastAsia"/>
          <w:color w:val="auto"/>
          <w:highlight w:val="none"/>
        </w:rPr>
      </w:pPr>
      <w:r>
        <w:rPr>
          <w:rFonts w:hint="eastAsia" w:ascii="宋体" w:hAnsi="宋体" w:eastAsia="宋体" w:cs="宋体"/>
          <w:b/>
          <w:bCs/>
          <w:color w:val="auto"/>
          <w:kern w:val="0"/>
          <w:sz w:val="24"/>
          <w:szCs w:val="24"/>
          <w:highlight w:val="none"/>
          <w:lang w:val="en-US" w:eastAsia="zh-CN" w:bidi="ar"/>
        </w:rPr>
        <w:t>4.排名第一的中标候选人放弃中标、因不可抗力不能履行合同、不按照招标文件要求提交履约保证金，或者被查实存在影响中标结果的违法行为等情形，不符合中标条件的，采购人</w:t>
      </w:r>
      <w:r>
        <w:rPr>
          <w:rFonts w:hint="eastAsia" w:ascii="宋体" w:hAnsi="宋体" w:cs="宋体"/>
          <w:b/>
          <w:bCs/>
          <w:color w:val="auto"/>
          <w:kern w:val="0"/>
          <w:sz w:val="24"/>
          <w:szCs w:val="24"/>
          <w:highlight w:val="none"/>
          <w:lang w:val="en-US" w:eastAsia="zh-CN" w:bidi="ar"/>
        </w:rPr>
        <w:t>可以</w:t>
      </w:r>
      <w:r>
        <w:rPr>
          <w:rFonts w:hint="eastAsia" w:ascii="宋体" w:hAnsi="宋体" w:eastAsia="宋体" w:cs="宋体"/>
          <w:b/>
          <w:bCs/>
          <w:color w:val="auto"/>
          <w:kern w:val="0"/>
          <w:sz w:val="24"/>
          <w:szCs w:val="24"/>
          <w:highlight w:val="none"/>
          <w:lang w:val="en-US" w:eastAsia="zh-CN" w:bidi="ar"/>
        </w:rPr>
        <w:t>重新招标。</w:t>
      </w:r>
    </w:p>
    <w:p w14:paraId="56CD6C77">
      <w:pPr>
        <w:keepNext w:val="0"/>
        <w:keepLines w:val="0"/>
        <w:pageBreakBefore w:val="0"/>
        <w:widowControl w:val="0"/>
        <w:kinsoku/>
        <w:wordWrap/>
        <w:overflowPunct/>
        <w:topLinePunct w:val="0"/>
        <w:autoSpaceDE/>
        <w:autoSpaceDN/>
        <w:bidi w:val="0"/>
        <w:adjustRightInd/>
        <w:snapToGrid w:val="0"/>
        <w:spacing w:line="380" w:lineRule="exact"/>
        <w:ind w:left="0" w:leftChars="0" w:firstLine="562" w:firstLineChars="200"/>
        <w:textAlignment w:val="auto"/>
        <w:rPr>
          <w:rFonts w:hint="eastAsia" w:ascii="宋体" w:hAnsi="宋体"/>
          <w:b/>
          <w:color w:val="auto"/>
          <w:sz w:val="28"/>
          <w:szCs w:val="28"/>
          <w:highlight w:val="none"/>
        </w:rPr>
      </w:pPr>
      <w:r>
        <w:rPr>
          <w:rFonts w:hint="eastAsia" w:ascii="宋体" w:hAnsi="宋体"/>
          <w:b/>
          <w:color w:val="auto"/>
          <w:sz w:val="28"/>
          <w:szCs w:val="28"/>
          <w:highlight w:val="none"/>
        </w:rPr>
        <w:t>八、合同授予</w:t>
      </w:r>
    </w:p>
    <w:p w14:paraId="059A59B6">
      <w:pPr>
        <w:keepNext w:val="0"/>
        <w:keepLines w:val="0"/>
        <w:pageBreakBefore w:val="0"/>
        <w:widowControl w:val="0"/>
        <w:kinsoku/>
        <w:wordWrap/>
        <w:overflowPunct/>
        <w:topLinePunct w:val="0"/>
        <w:autoSpaceDE/>
        <w:autoSpaceDN/>
        <w:bidi w:val="0"/>
        <w:adjustRightInd/>
        <w:snapToGrid w:val="0"/>
        <w:spacing w:line="380" w:lineRule="exact"/>
        <w:ind w:left="0" w:leftChars="0" w:firstLine="472" w:firstLineChars="196"/>
        <w:textAlignment w:val="auto"/>
        <w:rPr>
          <w:rFonts w:hint="eastAsia" w:ascii="宋体" w:hAnsi="宋体"/>
          <w:b/>
          <w:bCs/>
          <w:color w:val="auto"/>
          <w:sz w:val="24"/>
          <w:szCs w:val="20"/>
          <w:highlight w:val="none"/>
        </w:rPr>
      </w:pPr>
      <w:r>
        <w:rPr>
          <w:rFonts w:hint="eastAsia" w:ascii="宋体" w:hAnsi="宋体"/>
          <w:b/>
          <w:bCs/>
          <w:color w:val="auto"/>
          <w:sz w:val="24"/>
          <w:szCs w:val="20"/>
          <w:highlight w:val="none"/>
        </w:rPr>
        <w:t>（一）签订合同</w:t>
      </w:r>
    </w:p>
    <w:p w14:paraId="27B5765D">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szCs w:val="20"/>
          <w:highlight w:val="none"/>
        </w:rPr>
      </w:pPr>
      <w:r>
        <w:rPr>
          <w:rFonts w:ascii="宋体" w:hAnsi="宋体"/>
          <w:color w:val="auto"/>
          <w:sz w:val="24"/>
          <w:szCs w:val="20"/>
          <w:highlight w:val="none"/>
        </w:rPr>
        <w:t>1</w:t>
      </w:r>
      <w:r>
        <w:rPr>
          <w:rFonts w:hint="eastAsia" w:ascii="宋体" w:hAnsi="宋体"/>
          <w:color w:val="auto"/>
          <w:sz w:val="24"/>
          <w:szCs w:val="20"/>
          <w:highlight w:val="none"/>
        </w:rPr>
        <w:t>.采购人与</w:t>
      </w:r>
      <w:r>
        <w:rPr>
          <w:rFonts w:ascii="宋体" w:hAnsi="宋体"/>
          <w:color w:val="auto"/>
          <w:sz w:val="24"/>
          <w:szCs w:val="20"/>
          <w:highlight w:val="none"/>
        </w:rPr>
        <w:t>中标人应</w:t>
      </w:r>
      <w:r>
        <w:rPr>
          <w:rFonts w:hint="eastAsia" w:ascii="宋体" w:hAnsi="宋体"/>
          <w:color w:val="auto"/>
          <w:sz w:val="24"/>
          <w:szCs w:val="20"/>
          <w:highlight w:val="none"/>
        </w:rPr>
        <w:t>当在《</w:t>
      </w:r>
      <w:r>
        <w:rPr>
          <w:rFonts w:ascii="宋体" w:hAnsi="宋体"/>
          <w:color w:val="auto"/>
          <w:sz w:val="24"/>
          <w:szCs w:val="20"/>
          <w:highlight w:val="none"/>
        </w:rPr>
        <w:t>中标通知书</w:t>
      </w:r>
      <w:r>
        <w:rPr>
          <w:rFonts w:hint="eastAsia" w:ascii="宋体" w:hAnsi="宋体"/>
          <w:color w:val="auto"/>
          <w:sz w:val="24"/>
          <w:szCs w:val="20"/>
          <w:highlight w:val="none"/>
        </w:rPr>
        <w:t>》发出之日起30日内签订采购合同。同时，采购代理公司对合同内容进行审查，如发现与采购结果和投标承诺内容不一致的，应予以纠正。</w:t>
      </w:r>
    </w:p>
    <w:p w14:paraId="485F25F8">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bCs/>
          <w:color w:val="auto"/>
          <w:sz w:val="24"/>
          <w:szCs w:val="20"/>
          <w:highlight w:val="none"/>
        </w:rPr>
      </w:pPr>
      <w:r>
        <w:rPr>
          <w:rFonts w:hint="eastAsia" w:ascii="宋体" w:hAnsi="宋体"/>
          <w:bCs/>
          <w:color w:val="auto"/>
          <w:sz w:val="24"/>
          <w:szCs w:val="20"/>
          <w:highlight w:val="none"/>
        </w:rPr>
        <w:t>2.</w:t>
      </w:r>
      <w:r>
        <w:rPr>
          <w:rFonts w:ascii="宋体" w:hAnsi="宋体"/>
          <w:bCs/>
          <w:color w:val="auto"/>
          <w:sz w:val="24"/>
          <w:szCs w:val="20"/>
          <w:highlight w:val="none"/>
        </w:rPr>
        <w:t>合同</w:t>
      </w:r>
      <w:r>
        <w:rPr>
          <w:rFonts w:hint="eastAsia" w:ascii="宋体" w:hAnsi="宋体"/>
          <w:bCs/>
          <w:color w:val="auto"/>
          <w:sz w:val="24"/>
          <w:szCs w:val="20"/>
          <w:highlight w:val="none"/>
        </w:rPr>
        <w:t>应</w:t>
      </w:r>
      <w:r>
        <w:rPr>
          <w:rFonts w:ascii="宋体" w:hAnsi="宋体"/>
          <w:bCs/>
          <w:color w:val="auto"/>
          <w:sz w:val="24"/>
          <w:szCs w:val="20"/>
          <w:highlight w:val="none"/>
        </w:rPr>
        <w:t>一式</w:t>
      </w:r>
      <w:r>
        <w:rPr>
          <w:rFonts w:hint="eastAsia" w:ascii="宋体" w:hAnsi="宋体"/>
          <w:bCs/>
          <w:color w:val="auto"/>
          <w:sz w:val="24"/>
          <w:szCs w:val="20"/>
          <w:highlight w:val="none"/>
          <w:lang w:val="en-US" w:eastAsia="zh-CN"/>
        </w:rPr>
        <w:t>陆</w:t>
      </w:r>
      <w:r>
        <w:rPr>
          <w:rFonts w:ascii="宋体" w:hAnsi="宋体"/>
          <w:bCs/>
          <w:color w:val="auto"/>
          <w:sz w:val="24"/>
          <w:szCs w:val="20"/>
          <w:highlight w:val="none"/>
        </w:rPr>
        <w:t>份，</w:t>
      </w:r>
      <w:r>
        <w:rPr>
          <w:rFonts w:hint="eastAsia" w:ascii="宋体" w:hAnsi="宋体"/>
          <w:bCs/>
          <w:color w:val="auto"/>
          <w:sz w:val="24"/>
          <w:szCs w:val="20"/>
          <w:highlight w:val="none"/>
        </w:rPr>
        <w:t>采购单位与中标人</w:t>
      </w:r>
      <w:r>
        <w:rPr>
          <w:rFonts w:ascii="宋体" w:hAnsi="宋体"/>
          <w:bCs/>
          <w:color w:val="auto"/>
          <w:sz w:val="24"/>
          <w:szCs w:val="20"/>
          <w:highlight w:val="none"/>
        </w:rPr>
        <w:t>双方各执</w:t>
      </w:r>
      <w:r>
        <w:rPr>
          <w:rFonts w:hint="eastAsia" w:ascii="宋体" w:hAnsi="宋体"/>
          <w:bCs/>
          <w:color w:val="auto"/>
          <w:sz w:val="24"/>
          <w:szCs w:val="20"/>
          <w:highlight w:val="none"/>
        </w:rPr>
        <w:t>叁</w:t>
      </w:r>
      <w:r>
        <w:rPr>
          <w:rFonts w:ascii="宋体" w:hAnsi="宋体"/>
          <w:bCs/>
          <w:color w:val="auto"/>
          <w:sz w:val="24"/>
          <w:szCs w:val="20"/>
          <w:highlight w:val="none"/>
        </w:rPr>
        <w:t>份</w:t>
      </w:r>
      <w:r>
        <w:rPr>
          <w:rFonts w:hint="eastAsia" w:ascii="宋体" w:hAnsi="宋体"/>
          <w:bCs/>
          <w:color w:val="auto"/>
          <w:sz w:val="24"/>
          <w:szCs w:val="20"/>
          <w:highlight w:val="none"/>
        </w:rPr>
        <w:t>。</w:t>
      </w:r>
    </w:p>
    <w:p w14:paraId="51B8F04D">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color w:val="auto"/>
          <w:highlight w:val="none"/>
        </w:rPr>
      </w:pPr>
      <w:r>
        <w:rPr>
          <w:rFonts w:hint="eastAsia" w:ascii="宋体" w:hAnsi="宋体"/>
          <w:color w:val="auto"/>
          <w:sz w:val="24"/>
          <w:szCs w:val="20"/>
          <w:highlight w:val="none"/>
        </w:rPr>
        <w:t>3.</w:t>
      </w:r>
      <w:r>
        <w:rPr>
          <w:rFonts w:ascii="宋体" w:hAnsi="宋体"/>
          <w:color w:val="auto"/>
          <w:sz w:val="24"/>
          <w:szCs w:val="20"/>
          <w:highlight w:val="none"/>
        </w:rPr>
        <w:t>中标人拖延、拒签合同的, 将被扣罚投标保证金</w:t>
      </w:r>
      <w:r>
        <w:rPr>
          <w:rFonts w:hint="eastAsia" w:ascii="宋体" w:hAnsi="宋体"/>
          <w:color w:val="auto"/>
          <w:sz w:val="24"/>
          <w:szCs w:val="20"/>
          <w:highlight w:val="none"/>
        </w:rPr>
        <w:t>（如有）</w:t>
      </w:r>
      <w:r>
        <w:rPr>
          <w:rFonts w:ascii="宋体" w:hAnsi="宋体"/>
          <w:color w:val="auto"/>
          <w:sz w:val="24"/>
          <w:szCs w:val="20"/>
          <w:highlight w:val="none"/>
        </w:rPr>
        <w:t>并取消中标资格</w:t>
      </w:r>
      <w:r>
        <w:rPr>
          <w:rFonts w:hint="eastAsia" w:ascii="宋体" w:hAnsi="宋体"/>
          <w:color w:val="auto"/>
          <w:sz w:val="24"/>
          <w:szCs w:val="20"/>
          <w:highlight w:val="none"/>
        </w:rPr>
        <w:t>，</w:t>
      </w:r>
      <w:r>
        <w:rPr>
          <w:rFonts w:ascii="宋体" w:hAnsi="宋体"/>
          <w:color w:val="auto"/>
          <w:sz w:val="24"/>
          <w:szCs w:val="20"/>
          <w:highlight w:val="none"/>
        </w:rPr>
        <w:t>并赔偿采购人的损失。</w:t>
      </w:r>
    </w:p>
    <w:p w14:paraId="1B659358">
      <w:pPr>
        <w:numPr>
          <w:ilvl w:val="0"/>
          <w:numId w:val="7"/>
        </w:numPr>
        <w:snapToGrid w:val="0"/>
        <w:jc w:val="center"/>
        <w:outlineLvl w:val="0"/>
        <w:rPr>
          <w:rFonts w:hint="eastAsia" w:ascii="宋体" w:hAnsi="宋体"/>
          <w:b/>
          <w:bCs/>
          <w:color w:val="auto"/>
          <w:sz w:val="30"/>
          <w:szCs w:val="30"/>
          <w:highlight w:val="none"/>
        </w:rPr>
        <w:sectPr>
          <w:footerReference r:id="rId13" w:type="first"/>
          <w:footerReference r:id="rId12" w:type="default"/>
          <w:pgSz w:w="11906" w:h="16838"/>
          <w:pgMar w:top="1474" w:right="1247" w:bottom="1247" w:left="1247" w:header="851" w:footer="851" w:gutter="0"/>
          <w:cols w:space="720" w:num="1"/>
          <w:titlePg/>
          <w:docGrid w:linePitch="312" w:charSpace="0"/>
        </w:sectPr>
      </w:pPr>
      <w:bookmarkStart w:id="6" w:name="_Toc24362"/>
    </w:p>
    <w:p w14:paraId="1E43BD21">
      <w:pPr>
        <w:numPr>
          <w:ilvl w:val="0"/>
          <w:numId w:val="0"/>
        </w:numPr>
        <w:snapToGrid w:val="0"/>
        <w:jc w:val="center"/>
        <w:outlineLvl w:val="0"/>
        <w:rPr>
          <w:rFonts w:hint="eastAsia" w:ascii="宋体" w:hAnsi="宋体"/>
          <w:b/>
          <w:bCs/>
          <w:color w:val="auto"/>
          <w:sz w:val="30"/>
          <w:szCs w:val="30"/>
          <w:highlight w:val="none"/>
        </w:rPr>
      </w:pPr>
      <w:r>
        <w:rPr>
          <w:rFonts w:hint="eastAsia" w:ascii="宋体" w:hAnsi="宋体"/>
          <w:b/>
          <w:bCs/>
          <w:color w:val="auto"/>
          <w:sz w:val="30"/>
          <w:szCs w:val="30"/>
          <w:highlight w:val="none"/>
          <w:lang w:val="en-US" w:eastAsia="zh-CN"/>
        </w:rPr>
        <w:t xml:space="preserve">第四章 </w:t>
      </w:r>
      <w:r>
        <w:rPr>
          <w:rFonts w:hint="eastAsia" w:ascii="宋体" w:hAnsi="宋体"/>
          <w:b/>
          <w:bCs/>
          <w:color w:val="auto"/>
          <w:sz w:val="30"/>
          <w:szCs w:val="30"/>
          <w:highlight w:val="none"/>
        </w:rPr>
        <w:t>评标办法及评分标准</w:t>
      </w:r>
      <w:bookmarkEnd w:id="6"/>
    </w:p>
    <w:p w14:paraId="5B98B75F">
      <w:pPr>
        <w:spacing w:line="360" w:lineRule="auto"/>
        <w:ind w:firstLine="420"/>
        <w:rPr>
          <w:rFonts w:hint="eastAsia" w:ascii="宋体" w:hAnsi="宋体"/>
          <w:color w:val="auto"/>
          <w:sz w:val="24"/>
          <w:szCs w:val="20"/>
          <w:highlight w:val="none"/>
        </w:rPr>
      </w:pPr>
    </w:p>
    <w:p w14:paraId="3419FD89">
      <w:pPr>
        <w:keepNext w:val="0"/>
        <w:keepLines w:val="0"/>
        <w:pageBreakBefore w:val="0"/>
        <w:widowControl w:val="0"/>
        <w:kinsoku/>
        <w:wordWrap/>
        <w:overflowPunct/>
        <w:topLinePunct w:val="0"/>
        <w:bidi w:val="0"/>
        <w:snapToGrid/>
        <w:spacing w:line="400" w:lineRule="exact"/>
        <w:ind w:left="0" w:righ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为公正、公平、科学地选择中标人，根据招标投标法有关法律法规的规定，并结合本项目的实际，制定本办法。</w:t>
      </w:r>
    </w:p>
    <w:p w14:paraId="3F92C621">
      <w:pPr>
        <w:keepNext w:val="0"/>
        <w:keepLines w:val="0"/>
        <w:pageBreakBefore w:val="0"/>
        <w:widowControl w:val="0"/>
        <w:kinsoku/>
        <w:wordWrap/>
        <w:overflowPunct/>
        <w:topLinePunct w:val="0"/>
        <w:bidi w:val="0"/>
        <w:snapToGrid/>
        <w:spacing w:line="400" w:lineRule="exact"/>
        <w:ind w:left="0" w:righ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本办法适用于</w:t>
      </w:r>
      <w:r>
        <w:rPr>
          <w:rFonts w:hint="eastAsia" w:ascii="宋体" w:hAnsi="宋体" w:cs="宋体"/>
          <w:color w:val="auto"/>
          <w:sz w:val="24"/>
          <w:szCs w:val="24"/>
          <w:highlight w:val="none"/>
          <w:lang w:eastAsia="zh-CN"/>
        </w:rPr>
        <w:t>江南之源文化遗址公园德清窑空气治理项目</w:t>
      </w:r>
      <w:r>
        <w:rPr>
          <w:rFonts w:hint="eastAsia" w:ascii="宋体" w:hAnsi="宋体" w:eastAsia="宋体" w:cs="宋体"/>
          <w:color w:val="auto"/>
          <w:sz w:val="24"/>
          <w:szCs w:val="24"/>
          <w:highlight w:val="none"/>
        </w:rPr>
        <w:t>的评标。</w:t>
      </w:r>
    </w:p>
    <w:p w14:paraId="05A973A0">
      <w:pPr>
        <w:keepNext w:val="0"/>
        <w:keepLines w:val="0"/>
        <w:pageBreakBefore w:val="0"/>
        <w:widowControl w:val="0"/>
        <w:kinsoku/>
        <w:wordWrap/>
        <w:overflowPunct/>
        <w:topLinePunct w:val="0"/>
        <w:bidi w:val="0"/>
        <w:snapToGrid/>
        <w:spacing w:line="400" w:lineRule="exact"/>
        <w:ind w:left="0" w:right="0" w:firstLine="472" w:firstLineChars="196"/>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一.总则</w:t>
      </w:r>
    </w:p>
    <w:p w14:paraId="40819FF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4"/>
          <w:highlight w:val="none"/>
        </w:rPr>
        <w:t>本次评标采用综合评分法，总分为100分，其中价格分、商务资信及其他、技术分等三部分。合格投标人的评标得分为各项目汇总得分，中标候选资格按评标得分由高到低顺序排列，得分相同的，按投标报价由低到高顺序排列,得分且投标报价相同的，按技术得分由高到低顺序排列。排名第一的投标人为第一中标候选人。评分过程中采用四舍五入法，并保留小数2位</w:t>
      </w:r>
      <w:r>
        <w:rPr>
          <w:rFonts w:hint="eastAsia" w:ascii="宋体" w:hAnsi="宋体" w:eastAsia="宋体" w:cs="宋体"/>
          <w:color w:val="auto"/>
          <w:sz w:val="24"/>
          <w:szCs w:val="20"/>
          <w:highlight w:val="none"/>
        </w:rPr>
        <w:t>。</w:t>
      </w:r>
    </w:p>
    <w:p w14:paraId="080C0B2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投标人评标综合得分=价格分+(技术分+商务分+资信及其他分)</w:t>
      </w:r>
    </w:p>
    <w:p w14:paraId="3A769E4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投标（响应）报价低于全部通过符合性审查供应商投标（响应）报价平均值50%的，即投标（响应）报价&lt;全部通过符合性审查供应商投标（响应）报价平均值×50%；相关供应商应在30分钟内对投标（响应）价格作出解释，提供项目具体成本测算等与报价合理性相关的书面说明及必要的证明材料，包括但不限于原材料成本、人工成本、制造费用等，提供相关材料，如投标（响应）供应商不能在规定时间内提供书面说明、证明材料，或者提供的书面说明、证明材料不能证明其报价合理性的，评审委员会应当将其作为无效投标（响应）处理。如供应商已随投标（响应）文件一并提交相关书面说明及必要的证明材料的，在评审现场可不再重复提交。</w:t>
      </w:r>
    </w:p>
    <w:p w14:paraId="01DAA1CC">
      <w:pPr>
        <w:keepNext w:val="0"/>
        <w:keepLines w:val="0"/>
        <w:pageBreakBefore w:val="0"/>
        <w:widowControl w:val="0"/>
        <w:kinsoku/>
        <w:wordWrap/>
        <w:overflowPunct/>
        <w:topLinePunct w:val="0"/>
        <w:bidi w:val="0"/>
        <w:snapToGrid/>
        <w:spacing w:line="400" w:lineRule="exact"/>
        <w:ind w:left="0" w:right="0" w:firstLine="482" w:firstLineChars="200"/>
        <w:textAlignment w:val="auto"/>
        <w:rPr>
          <w:rFonts w:hint="eastAsia" w:ascii="宋体" w:hAnsi="宋体" w:eastAsia="宋体" w:cs="宋体"/>
          <w:b/>
          <w:color w:val="auto"/>
          <w:sz w:val="24"/>
          <w:szCs w:val="24"/>
          <w:highlight w:val="none"/>
          <w:lang w:eastAsia="zh-CN"/>
        </w:rPr>
      </w:pPr>
      <w:r>
        <w:rPr>
          <w:rFonts w:hint="eastAsia" w:ascii="宋体" w:hAnsi="宋体" w:cs="宋体"/>
          <w:b/>
          <w:bCs w:val="0"/>
          <w:color w:val="auto"/>
          <w:sz w:val="24"/>
          <w:szCs w:val="24"/>
          <w:highlight w:val="none"/>
          <w:lang w:val="en-US" w:eastAsia="zh-CN"/>
        </w:rPr>
        <w:t>投标供应商</w:t>
      </w:r>
      <w:r>
        <w:rPr>
          <w:rFonts w:hint="eastAsia" w:ascii="宋体" w:hAnsi="宋体" w:eastAsia="宋体" w:cs="宋体"/>
          <w:b/>
          <w:bCs w:val="0"/>
          <w:color w:val="auto"/>
          <w:sz w:val="24"/>
          <w:szCs w:val="24"/>
          <w:highlight w:val="none"/>
        </w:rPr>
        <w:t>不得进行影响产品质量或者诚信履约的恶意报价。供应商在项目评审前准备好报价核算、报价明细、报价说明等材料，以备评审专家核查</w:t>
      </w:r>
      <w:r>
        <w:rPr>
          <w:rFonts w:hint="eastAsia" w:ascii="宋体" w:hAnsi="宋体" w:cs="宋体"/>
          <w:b/>
          <w:bCs w:val="0"/>
          <w:color w:val="auto"/>
          <w:sz w:val="24"/>
          <w:szCs w:val="24"/>
          <w:highlight w:val="none"/>
          <w:lang w:eastAsia="zh-CN"/>
        </w:rPr>
        <w:t>。</w:t>
      </w:r>
    </w:p>
    <w:p w14:paraId="54CCF34D">
      <w:pPr>
        <w:keepNext w:val="0"/>
        <w:keepLines w:val="0"/>
        <w:pageBreakBefore w:val="0"/>
        <w:widowControl w:val="0"/>
        <w:tabs>
          <w:tab w:val="left" w:pos="420"/>
        </w:tabs>
        <w:kinsoku/>
        <w:wordWrap/>
        <w:overflowPunct/>
        <w:topLinePunct w:val="0"/>
        <w:bidi w:val="0"/>
        <w:snapToGrid/>
        <w:spacing w:line="400" w:lineRule="exact"/>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w:t>
      </w: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评标内容及标准</w:t>
      </w:r>
    </w:p>
    <w:tbl>
      <w:tblPr>
        <w:tblStyle w:val="17"/>
        <w:tblW w:w="9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1412"/>
        <w:gridCol w:w="6911"/>
      </w:tblGrid>
      <w:tr w14:paraId="435C0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atLeast"/>
          <w:tblHeader/>
          <w:jc w:val="center"/>
        </w:trPr>
        <w:tc>
          <w:tcPr>
            <w:tcW w:w="1025" w:type="dxa"/>
            <w:shd w:val="clear" w:color="auto" w:fill="C0C0C0"/>
            <w:vAlign w:val="center"/>
          </w:tcPr>
          <w:p w14:paraId="7DDF8E63">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评分项目</w:t>
            </w:r>
          </w:p>
        </w:tc>
        <w:tc>
          <w:tcPr>
            <w:tcW w:w="1412" w:type="dxa"/>
            <w:shd w:val="clear" w:color="auto" w:fill="C0C0C0"/>
            <w:vAlign w:val="center"/>
          </w:tcPr>
          <w:p w14:paraId="19A041F2">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分值</w:t>
            </w:r>
          </w:p>
        </w:tc>
        <w:tc>
          <w:tcPr>
            <w:tcW w:w="6911" w:type="dxa"/>
            <w:shd w:val="clear" w:color="auto" w:fill="C0C0C0"/>
            <w:vAlign w:val="center"/>
          </w:tcPr>
          <w:p w14:paraId="79531EE0">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评标要点及说明</w:t>
            </w:r>
          </w:p>
        </w:tc>
      </w:tr>
      <w:tr w14:paraId="249EE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5" w:hRule="atLeast"/>
          <w:jc w:val="center"/>
        </w:trPr>
        <w:tc>
          <w:tcPr>
            <w:tcW w:w="1025" w:type="dxa"/>
            <w:vAlign w:val="center"/>
          </w:tcPr>
          <w:p w14:paraId="635FDD05">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价格分</w:t>
            </w:r>
          </w:p>
          <w:p w14:paraId="75B41D8F">
            <w:pPr>
              <w:pStyle w:val="9"/>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0分</w:t>
            </w:r>
          </w:p>
        </w:tc>
        <w:tc>
          <w:tcPr>
            <w:tcW w:w="1412" w:type="dxa"/>
            <w:vAlign w:val="center"/>
          </w:tcPr>
          <w:p w14:paraId="7D1661FD">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0分</w:t>
            </w:r>
          </w:p>
        </w:tc>
        <w:tc>
          <w:tcPr>
            <w:tcW w:w="6911" w:type="dxa"/>
            <w:vAlign w:val="center"/>
          </w:tcPr>
          <w:p w14:paraId="6AB0938E">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满足招标文件要求且投标报价最低的投标报价为评标基准价，其价格分为满分。其他投标人的价格分统一按照下列公式计算：投标报价得分=（评标基准价/投标报价</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snapToGrid w:val="0"/>
                <w:color w:val="auto"/>
                <w:kern w:val="0"/>
                <w:sz w:val="24"/>
                <w:szCs w:val="24"/>
                <w:highlight w:val="none"/>
              </w:rPr>
              <w:t>×</w:t>
            </w:r>
            <w:r>
              <w:rPr>
                <w:rFonts w:hint="eastAsia" w:ascii="宋体" w:hAnsi="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0%×100</w:t>
            </w:r>
          </w:p>
        </w:tc>
      </w:tr>
      <w:tr w14:paraId="229AB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7" w:hRule="atLeast"/>
          <w:jc w:val="center"/>
        </w:trPr>
        <w:tc>
          <w:tcPr>
            <w:tcW w:w="1025" w:type="dxa"/>
            <w:vMerge w:val="restart"/>
            <w:vAlign w:val="center"/>
          </w:tcPr>
          <w:p w14:paraId="48563678">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技术分</w:t>
            </w:r>
          </w:p>
          <w:p w14:paraId="2A821B5C">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cs="宋体"/>
                <w:snapToGrid w:val="0"/>
                <w:color w:val="auto"/>
                <w:kern w:val="0"/>
                <w:sz w:val="24"/>
                <w:szCs w:val="24"/>
                <w:highlight w:val="none"/>
                <w:lang w:val="en-US" w:eastAsia="zh-CN"/>
              </w:rPr>
              <w:t>55</w:t>
            </w:r>
            <w:r>
              <w:rPr>
                <w:rFonts w:hint="eastAsia" w:ascii="宋体" w:hAnsi="宋体" w:eastAsia="宋体" w:cs="宋体"/>
                <w:snapToGrid w:val="0"/>
                <w:color w:val="auto"/>
                <w:kern w:val="0"/>
                <w:sz w:val="24"/>
                <w:szCs w:val="24"/>
                <w:highlight w:val="none"/>
              </w:rPr>
              <w:t>分</w:t>
            </w:r>
          </w:p>
        </w:tc>
        <w:tc>
          <w:tcPr>
            <w:tcW w:w="1412" w:type="dxa"/>
            <w:vAlign w:val="center"/>
          </w:tcPr>
          <w:p w14:paraId="2D1CCB69">
            <w:pPr>
              <w:keepNext w:val="0"/>
              <w:keepLines w:val="0"/>
              <w:pageBreakBefore w:val="0"/>
              <w:widowControl w:val="0"/>
              <w:suppressLineNumbers w:val="0"/>
              <w:tabs>
                <w:tab w:val="left" w:pos="1418"/>
              </w:tabs>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Cs/>
                <w:color w:val="auto"/>
                <w:sz w:val="24"/>
                <w:szCs w:val="24"/>
                <w:highlight w:val="none"/>
              </w:rPr>
              <w:t>技术指标</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6911" w:type="dxa"/>
            <w:vAlign w:val="center"/>
          </w:tcPr>
          <w:p w14:paraId="5D8E8F92">
            <w:pPr>
              <w:keepNext w:val="0"/>
              <w:keepLines w:val="0"/>
              <w:pageBreakBefore w:val="0"/>
              <w:widowControl w:val="0"/>
              <w:suppressLineNumbers w:val="0"/>
              <w:tabs>
                <w:tab w:val="left" w:pos="1418"/>
              </w:tabs>
              <w:kinsoku/>
              <w:wordWrap/>
              <w:overflowPunct/>
              <w:topLinePunct w:val="0"/>
              <w:bidi w:val="0"/>
              <w:snapToGrid/>
              <w:spacing w:beforeAutospacing="0" w:afterAutospacing="0" w:line="400" w:lineRule="exact"/>
              <w:ind w:left="0" w:right="0"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Cs/>
                <w:color w:val="auto"/>
                <w:sz w:val="24"/>
                <w:szCs w:val="24"/>
                <w:highlight w:val="none"/>
              </w:rPr>
              <w:t>满足招标</w:t>
            </w:r>
            <w:r>
              <w:rPr>
                <w:rFonts w:hint="eastAsia" w:ascii="宋体" w:hAnsi="宋体" w:cs="宋体"/>
                <w:bCs/>
                <w:color w:val="auto"/>
                <w:sz w:val="24"/>
                <w:szCs w:val="24"/>
                <w:highlight w:val="none"/>
                <w:lang w:val="en-US" w:eastAsia="zh-CN"/>
              </w:rPr>
              <w:t>服务</w:t>
            </w:r>
            <w:r>
              <w:rPr>
                <w:rFonts w:hint="eastAsia" w:ascii="宋体" w:hAnsi="宋体" w:eastAsia="宋体" w:cs="宋体"/>
                <w:bCs/>
                <w:color w:val="auto"/>
                <w:sz w:val="24"/>
                <w:szCs w:val="24"/>
                <w:highlight w:val="none"/>
              </w:rPr>
              <w:t>的所有性能及技术指标要求得</w:t>
            </w:r>
            <w:r>
              <w:rPr>
                <w:rFonts w:hint="eastAsia" w:ascii="宋体" w:hAnsi="宋体" w:cs="宋体"/>
                <w:bCs/>
                <w:color w:val="auto"/>
                <w:sz w:val="24"/>
                <w:szCs w:val="24"/>
                <w:highlight w:val="none"/>
                <w:lang w:val="en-US" w:eastAsia="zh-CN"/>
              </w:rPr>
              <w:t>6</w:t>
            </w:r>
            <w:r>
              <w:rPr>
                <w:rFonts w:hint="eastAsia" w:ascii="宋体" w:hAnsi="宋体" w:eastAsia="宋体" w:cs="宋体"/>
                <w:bCs/>
                <w:color w:val="auto"/>
                <w:sz w:val="24"/>
                <w:szCs w:val="24"/>
                <w:highlight w:val="none"/>
              </w:rPr>
              <w:t>分，允许偏离的指标低于招标需求（非实质性负偏离，采购文件“第二章”中未标注“▲”的条款）的，经由专家组评议（审核认定为重要指标负偏离）后，每一项减1分，扣完为止。</w:t>
            </w:r>
          </w:p>
        </w:tc>
      </w:tr>
      <w:tr w14:paraId="547C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7" w:hRule="atLeast"/>
          <w:jc w:val="center"/>
        </w:trPr>
        <w:tc>
          <w:tcPr>
            <w:tcW w:w="1025" w:type="dxa"/>
            <w:vMerge w:val="continue"/>
            <w:vAlign w:val="center"/>
          </w:tcPr>
          <w:p w14:paraId="671DDFD0">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sz w:val="24"/>
                <w:szCs w:val="24"/>
                <w:highlight w:val="none"/>
              </w:rPr>
            </w:pPr>
          </w:p>
        </w:tc>
        <w:tc>
          <w:tcPr>
            <w:tcW w:w="1412" w:type="dxa"/>
            <w:vAlign w:val="center"/>
          </w:tcPr>
          <w:p w14:paraId="5FBBCC5F">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bCs/>
                <w:color w:val="auto"/>
                <w:sz w:val="24"/>
                <w:szCs w:val="24"/>
                <w:highlight w:val="none"/>
                <w:lang w:val="en-US" w:eastAsia="zh-CN"/>
              </w:rPr>
              <w:t>实施</w:t>
            </w:r>
            <w:r>
              <w:rPr>
                <w:rFonts w:hint="eastAsia" w:ascii="宋体" w:hAnsi="宋体" w:eastAsia="宋体" w:cs="宋体"/>
                <w:bCs/>
                <w:color w:val="auto"/>
                <w:sz w:val="24"/>
                <w:szCs w:val="24"/>
                <w:highlight w:val="none"/>
              </w:rPr>
              <w:t>方案</w:t>
            </w:r>
            <w:r>
              <w:rPr>
                <w:rFonts w:hint="eastAsia" w:ascii="宋体" w:hAnsi="宋体" w:cs="宋体"/>
                <w:bCs/>
                <w:color w:val="auto"/>
                <w:sz w:val="24"/>
                <w:szCs w:val="24"/>
                <w:highlight w:val="none"/>
                <w:lang w:val="en-US" w:eastAsia="zh-CN"/>
              </w:rPr>
              <w:t>26分</w:t>
            </w:r>
          </w:p>
        </w:tc>
        <w:tc>
          <w:tcPr>
            <w:tcW w:w="6911" w:type="dxa"/>
            <w:vAlign w:val="center"/>
          </w:tcPr>
          <w:p w14:paraId="488DA78D">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1.投标人针对本项目情况，制定实施组织架构方案，</w:t>
            </w:r>
            <w:r>
              <w:rPr>
                <w:rFonts w:hint="eastAsia" w:ascii="宋体" w:hAnsi="宋体" w:cs="宋体"/>
                <w:bCs/>
                <w:color w:val="auto"/>
                <w:sz w:val="24"/>
                <w:szCs w:val="24"/>
                <w:highlight w:val="none"/>
                <w:lang w:val="en-US" w:eastAsia="zh-CN"/>
              </w:rPr>
              <w:t>从</w:t>
            </w:r>
            <w:r>
              <w:rPr>
                <w:rFonts w:hint="eastAsia" w:ascii="宋体" w:hAnsi="宋体" w:eastAsia="宋体" w:cs="宋体"/>
                <w:bCs/>
                <w:color w:val="auto"/>
                <w:sz w:val="24"/>
                <w:szCs w:val="24"/>
                <w:highlight w:val="none"/>
              </w:rPr>
              <w:t>项目实施组织机构、人员分工、人员职责等</w:t>
            </w:r>
            <w:r>
              <w:rPr>
                <w:rFonts w:hint="eastAsia" w:ascii="宋体" w:hAnsi="宋体" w:cs="宋体"/>
                <w:bCs/>
                <w:color w:val="auto"/>
                <w:sz w:val="24"/>
                <w:szCs w:val="24"/>
                <w:highlight w:val="none"/>
                <w:lang w:val="en-US" w:eastAsia="zh-CN"/>
              </w:rPr>
              <w:t>方面进行评分</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（0-4分）</w:t>
            </w:r>
          </w:p>
          <w:p w14:paraId="16C52C19">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2.投标人针对本项目情况，制定实施组织计划，</w:t>
            </w:r>
            <w:r>
              <w:rPr>
                <w:rFonts w:hint="eastAsia" w:ascii="宋体" w:hAnsi="宋体" w:cs="宋体"/>
                <w:bCs/>
                <w:color w:val="auto"/>
                <w:sz w:val="24"/>
                <w:szCs w:val="24"/>
                <w:highlight w:val="none"/>
                <w:lang w:val="en-US" w:eastAsia="zh-CN"/>
              </w:rPr>
              <w:t>从</w:t>
            </w:r>
            <w:r>
              <w:rPr>
                <w:rFonts w:hint="eastAsia" w:ascii="宋体" w:hAnsi="宋体" w:eastAsia="宋体" w:cs="宋体"/>
                <w:bCs/>
                <w:color w:val="auto"/>
                <w:sz w:val="24"/>
                <w:szCs w:val="24"/>
                <w:highlight w:val="none"/>
              </w:rPr>
              <w:t>进度计划</w:t>
            </w:r>
            <w:r>
              <w:rPr>
                <w:rFonts w:hint="eastAsia" w:ascii="宋体" w:hAnsi="宋体" w:cs="宋体"/>
                <w:bCs/>
                <w:color w:val="auto"/>
                <w:sz w:val="24"/>
                <w:szCs w:val="24"/>
                <w:highlight w:val="none"/>
                <w:lang w:val="en-US" w:eastAsia="zh-CN"/>
              </w:rPr>
              <w:t>和</w:t>
            </w:r>
            <w:r>
              <w:rPr>
                <w:rFonts w:hint="eastAsia" w:ascii="宋体" w:hAnsi="宋体" w:eastAsia="宋体" w:cs="宋体"/>
                <w:bCs/>
                <w:color w:val="auto"/>
                <w:sz w:val="24"/>
                <w:szCs w:val="24"/>
                <w:highlight w:val="none"/>
              </w:rPr>
              <w:t>项目过程中各阶段划分和控制</w:t>
            </w:r>
            <w:r>
              <w:rPr>
                <w:rFonts w:hint="eastAsia" w:ascii="宋体" w:hAnsi="宋体" w:cs="宋体"/>
                <w:bCs/>
                <w:color w:val="auto"/>
                <w:sz w:val="24"/>
                <w:szCs w:val="24"/>
                <w:highlight w:val="none"/>
                <w:lang w:val="en-US" w:eastAsia="zh-CN"/>
              </w:rPr>
              <w:t>（0-4分）</w:t>
            </w:r>
            <w:r>
              <w:rPr>
                <w:rFonts w:hint="eastAsia" w:ascii="宋体" w:hAnsi="宋体" w:eastAsia="宋体" w:cs="宋体"/>
                <w:bCs/>
                <w:color w:val="auto"/>
                <w:sz w:val="24"/>
                <w:szCs w:val="24"/>
                <w:highlight w:val="none"/>
              </w:rPr>
              <w:t>、安全文明施工措施</w:t>
            </w:r>
            <w:r>
              <w:rPr>
                <w:rFonts w:hint="eastAsia" w:ascii="宋体" w:hAnsi="宋体" w:cs="宋体"/>
                <w:bCs/>
                <w:color w:val="auto"/>
                <w:sz w:val="24"/>
                <w:szCs w:val="24"/>
                <w:highlight w:val="none"/>
                <w:lang w:val="en-US" w:eastAsia="zh-CN"/>
              </w:rPr>
              <w:t>（0-4分）</w:t>
            </w:r>
            <w:r>
              <w:rPr>
                <w:rFonts w:hint="eastAsia" w:ascii="宋体" w:hAnsi="宋体" w:eastAsia="宋体" w:cs="宋体"/>
                <w:bCs/>
                <w:color w:val="auto"/>
                <w:sz w:val="24"/>
                <w:szCs w:val="24"/>
                <w:highlight w:val="none"/>
              </w:rPr>
              <w:t>、工期</w:t>
            </w:r>
            <w:r>
              <w:rPr>
                <w:rFonts w:hint="eastAsia" w:ascii="宋体" w:hAnsi="宋体" w:cs="宋体"/>
                <w:bCs/>
                <w:color w:val="auto"/>
                <w:sz w:val="24"/>
                <w:szCs w:val="24"/>
                <w:highlight w:val="none"/>
                <w:lang w:val="en-US" w:eastAsia="zh-CN"/>
              </w:rPr>
              <w:t>保障</w:t>
            </w:r>
            <w:r>
              <w:rPr>
                <w:rFonts w:hint="eastAsia" w:ascii="宋体" w:hAnsi="宋体" w:eastAsia="宋体" w:cs="宋体"/>
                <w:bCs/>
                <w:color w:val="auto"/>
                <w:sz w:val="24"/>
                <w:szCs w:val="24"/>
                <w:highlight w:val="none"/>
              </w:rPr>
              <w:t>措施</w:t>
            </w:r>
            <w:r>
              <w:rPr>
                <w:rFonts w:hint="eastAsia" w:ascii="宋体" w:hAnsi="宋体" w:cs="宋体"/>
                <w:bCs/>
                <w:color w:val="auto"/>
                <w:sz w:val="24"/>
                <w:szCs w:val="24"/>
                <w:highlight w:val="none"/>
                <w:lang w:val="en-US" w:eastAsia="zh-CN"/>
              </w:rPr>
              <w:t>（0-4分）</w:t>
            </w:r>
            <w:r>
              <w:rPr>
                <w:rFonts w:hint="eastAsia" w:ascii="宋体" w:hAnsi="宋体" w:eastAsia="宋体" w:cs="宋体"/>
                <w:bCs/>
                <w:color w:val="auto"/>
                <w:sz w:val="24"/>
                <w:szCs w:val="24"/>
                <w:highlight w:val="none"/>
              </w:rPr>
              <w:t>等内容</w:t>
            </w:r>
            <w:r>
              <w:rPr>
                <w:rFonts w:hint="eastAsia" w:ascii="宋体" w:hAnsi="宋体" w:cs="宋体"/>
                <w:bCs/>
                <w:color w:val="auto"/>
                <w:sz w:val="24"/>
                <w:szCs w:val="24"/>
                <w:highlight w:val="none"/>
                <w:lang w:val="en-US" w:eastAsia="zh-CN"/>
              </w:rPr>
              <w:t>进行评分。</w:t>
            </w:r>
          </w:p>
          <w:p w14:paraId="2A00FFE7">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eastAsia" w:ascii="宋体" w:hAnsi="宋体" w:cs="宋体"/>
                <w:bCs/>
                <w:color w:val="auto"/>
                <w:sz w:val="24"/>
                <w:szCs w:val="24"/>
                <w:highlight w:val="none"/>
                <w:lang w:val="en-US" w:eastAsia="zh-CN"/>
              </w:rPr>
            </w:pPr>
            <w:r>
              <w:rPr>
                <w:rFonts w:hint="eastAsia" w:ascii="宋体" w:hAnsi="宋体" w:eastAsia="宋体" w:cs="宋体"/>
                <w:bCs/>
                <w:color w:val="auto"/>
                <w:sz w:val="24"/>
                <w:szCs w:val="24"/>
                <w:highlight w:val="none"/>
              </w:rPr>
              <w:t>3.投标人针对本项目情况，制定产品供货方案，</w:t>
            </w:r>
            <w:r>
              <w:rPr>
                <w:rFonts w:hint="eastAsia" w:ascii="宋体" w:hAnsi="宋体" w:cs="宋体"/>
                <w:bCs/>
                <w:color w:val="auto"/>
                <w:sz w:val="24"/>
                <w:szCs w:val="24"/>
                <w:highlight w:val="none"/>
                <w:lang w:val="en-US" w:eastAsia="zh-CN"/>
              </w:rPr>
              <w:t>从</w:t>
            </w:r>
            <w:r>
              <w:rPr>
                <w:rFonts w:hint="eastAsia" w:ascii="宋体" w:hAnsi="宋体" w:eastAsia="宋体" w:cs="宋体"/>
                <w:bCs/>
                <w:color w:val="auto"/>
                <w:sz w:val="24"/>
                <w:szCs w:val="24"/>
                <w:highlight w:val="none"/>
              </w:rPr>
              <w:t>供货计划、供货组织方案、货物质量的保障措施等内容</w:t>
            </w:r>
            <w:r>
              <w:rPr>
                <w:rFonts w:hint="eastAsia" w:ascii="宋体" w:hAnsi="宋体" w:cs="宋体"/>
                <w:bCs/>
                <w:color w:val="auto"/>
                <w:sz w:val="24"/>
                <w:szCs w:val="24"/>
                <w:highlight w:val="none"/>
                <w:lang w:val="en-US" w:eastAsia="zh-CN"/>
              </w:rPr>
              <w:t>进行评分。（0-4分）</w:t>
            </w:r>
          </w:p>
          <w:p w14:paraId="6818DF7F">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default" w:ascii="宋体" w:hAnsi="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4.投标人针对本项目情况制定产品安装方案，从安装方案的可行性（0-3分）和美观度（0-3分）进行评分。</w:t>
            </w:r>
          </w:p>
        </w:tc>
      </w:tr>
      <w:tr w14:paraId="17AC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025" w:type="dxa"/>
            <w:vMerge w:val="continue"/>
            <w:vAlign w:val="center"/>
          </w:tcPr>
          <w:p w14:paraId="30A48577">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sz w:val="24"/>
                <w:szCs w:val="24"/>
                <w:highlight w:val="none"/>
              </w:rPr>
            </w:pPr>
          </w:p>
        </w:tc>
        <w:tc>
          <w:tcPr>
            <w:tcW w:w="1412" w:type="dxa"/>
            <w:shd w:val="clear" w:color="auto" w:fill="auto"/>
            <w:vAlign w:val="center"/>
          </w:tcPr>
          <w:p w14:paraId="3D61D595">
            <w:pPr>
              <w:keepNext w:val="0"/>
              <w:keepLines w:val="0"/>
              <w:pageBreakBefore w:val="0"/>
              <w:widowControl w:val="0"/>
              <w:kinsoku/>
              <w:wordWrap/>
              <w:overflowPunct/>
              <w:topLinePunct w:val="0"/>
              <w:autoSpaceDE/>
              <w:autoSpaceDN/>
              <w:bidi w:val="0"/>
              <w:snapToGrid/>
              <w:spacing w:line="400" w:lineRule="exact"/>
              <w:ind w:left="0" w:left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突发应急预案</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分</w:t>
            </w:r>
          </w:p>
        </w:tc>
        <w:tc>
          <w:tcPr>
            <w:tcW w:w="6911" w:type="dxa"/>
            <w:shd w:val="clear" w:color="auto" w:fill="auto"/>
            <w:vAlign w:val="center"/>
          </w:tcPr>
          <w:p w14:paraId="6ED5FC0F">
            <w:pPr>
              <w:keepNext w:val="0"/>
              <w:keepLines w:val="0"/>
              <w:pageBreakBefore w:val="0"/>
              <w:widowControl w:val="0"/>
              <w:kinsoku/>
              <w:wordWrap/>
              <w:overflowPunct/>
              <w:topLinePunct w:val="0"/>
              <w:autoSpaceDE/>
              <w:autoSpaceDN/>
              <w:bidi w:val="0"/>
              <w:snapToGrid/>
              <w:spacing w:line="400" w:lineRule="exact"/>
              <w:ind w:left="0" w:leftChars="0"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对</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提出的突发应急预案进行评定。对方案全面性</w:t>
            </w:r>
            <w:r>
              <w:rPr>
                <w:rFonts w:hint="eastAsia" w:ascii="宋体" w:hAnsi="宋体" w:cs="宋体"/>
                <w:bCs/>
                <w:color w:val="auto"/>
                <w:sz w:val="24"/>
                <w:szCs w:val="24"/>
                <w:highlight w:val="none"/>
                <w:lang w:val="en-US" w:eastAsia="zh-CN"/>
              </w:rPr>
              <w:t>（0-3分）</w:t>
            </w:r>
            <w:r>
              <w:rPr>
                <w:rFonts w:hint="eastAsia" w:ascii="宋体" w:hAnsi="宋体" w:eastAsia="宋体" w:cs="宋体"/>
                <w:color w:val="auto"/>
                <w:kern w:val="0"/>
                <w:sz w:val="24"/>
                <w:szCs w:val="24"/>
                <w:highlight w:val="none"/>
              </w:rPr>
              <w:t>、针对性</w:t>
            </w:r>
            <w:r>
              <w:rPr>
                <w:rFonts w:hint="eastAsia" w:ascii="宋体" w:hAnsi="宋体" w:cs="宋体"/>
                <w:bCs/>
                <w:color w:val="auto"/>
                <w:sz w:val="24"/>
                <w:szCs w:val="24"/>
                <w:highlight w:val="none"/>
                <w:lang w:val="en-US" w:eastAsia="zh-CN"/>
              </w:rPr>
              <w:t>（0-3分）</w:t>
            </w:r>
            <w:r>
              <w:rPr>
                <w:rFonts w:hint="eastAsia" w:ascii="宋体" w:hAnsi="宋体" w:eastAsia="宋体" w:cs="宋体"/>
                <w:color w:val="auto"/>
                <w:kern w:val="0"/>
                <w:sz w:val="24"/>
                <w:szCs w:val="24"/>
                <w:highlight w:val="none"/>
              </w:rPr>
              <w:t>、安全性</w:t>
            </w:r>
            <w:r>
              <w:rPr>
                <w:rFonts w:hint="eastAsia" w:ascii="宋体" w:hAnsi="宋体" w:cs="宋体"/>
                <w:bCs/>
                <w:color w:val="auto"/>
                <w:sz w:val="24"/>
                <w:szCs w:val="24"/>
                <w:highlight w:val="none"/>
                <w:lang w:val="en-US" w:eastAsia="zh-CN"/>
              </w:rPr>
              <w:t>（0-3分）</w:t>
            </w:r>
            <w:r>
              <w:rPr>
                <w:rFonts w:hint="eastAsia" w:ascii="宋体" w:hAnsi="宋体" w:eastAsia="宋体" w:cs="宋体"/>
                <w:color w:val="auto"/>
                <w:kern w:val="0"/>
                <w:sz w:val="24"/>
                <w:szCs w:val="24"/>
                <w:highlight w:val="none"/>
              </w:rPr>
              <w:t>进行打分。</w:t>
            </w:r>
          </w:p>
        </w:tc>
      </w:tr>
      <w:tr w14:paraId="0DB7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1" w:hRule="atLeast"/>
          <w:jc w:val="center"/>
        </w:trPr>
        <w:tc>
          <w:tcPr>
            <w:tcW w:w="1025" w:type="dxa"/>
            <w:vMerge w:val="continue"/>
            <w:vAlign w:val="center"/>
          </w:tcPr>
          <w:p w14:paraId="6815CAD7">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sz w:val="24"/>
                <w:szCs w:val="24"/>
                <w:highlight w:val="none"/>
              </w:rPr>
            </w:pPr>
          </w:p>
        </w:tc>
        <w:tc>
          <w:tcPr>
            <w:tcW w:w="1412" w:type="dxa"/>
            <w:shd w:val="clear" w:color="auto" w:fill="auto"/>
            <w:vAlign w:val="center"/>
          </w:tcPr>
          <w:p w14:paraId="428C0161">
            <w:pPr>
              <w:keepNext w:val="0"/>
              <w:keepLines w:val="0"/>
              <w:pageBreakBefore w:val="0"/>
              <w:widowControl w:val="0"/>
              <w:kinsoku/>
              <w:wordWrap/>
              <w:overflowPunct/>
              <w:topLinePunct w:val="0"/>
              <w:autoSpaceDE/>
              <w:autoSpaceDN/>
              <w:bidi w:val="0"/>
              <w:snapToGrid/>
              <w:spacing w:line="400" w:lineRule="exact"/>
              <w:ind w:left="0" w:leftChars="0"/>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培训方案</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lang w:val="en-US" w:eastAsia="zh-CN"/>
              </w:rPr>
              <w:t>分</w:t>
            </w:r>
          </w:p>
        </w:tc>
        <w:tc>
          <w:tcPr>
            <w:tcW w:w="6911" w:type="dxa"/>
            <w:shd w:val="clear" w:color="auto" w:fill="auto"/>
            <w:vAlign w:val="center"/>
          </w:tcPr>
          <w:p w14:paraId="51301633">
            <w:pPr>
              <w:keepNext w:val="0"/>
              <w:keepLines w:val="0"/>
              <w:pageBreakBefore w:val="0"/>
              <w:widowControl w:val="0"/>
              <w:kinsoku/>
              <w:wordWrap/>
              <w:overflowPunct/>
              <w:topLinePunct w:val="0"/>
              <w:autoSpaceDE/>
              <w:autoSpaceDN/>
              <w:bidi w:val="0"/>
              <w:snapToGrid/>
              <w:spacing w:line="400" w:lineRule="exact"/>
              <w:ind w:left="0" w:leftChars="0"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根据投标人提供的培训方案，包括管理员培训、用户培训、相关技术培训方案以及培训的时间安排和频率等。对方案措施的合理性、可操作性、有效性进行</w:t>
            </w:r>
            <w:r>
              <w:rPr>
                <w:rFonts w:hint="eastAsia" w:ascii="宋体" w:hAnsi="宋体" w:cs="宋体"/>
                <w:color w:val="auto"/>
                <w:kern w:val="0"/>
                <w:sz w:val="24"/>
                <w:szCs w:val="24"/>
                <w:highlight w:val="none"/>
                <w:lang w:val="en-US" w:eastAsia="zh-CN"/>
              </w:rPr>
              <w:t>评</w:t>
            </w:r>
            <w:r>
              <w:rPr>
                <w:rFonts w:hint="eastAsia" w:ascii="宋体" w:hAnsi="宋体" w:eastAsia="宋体" w:cs="宋体"/>
                <w:color w:val="auto"/>
                <w:kern w:val="0"/>
                <w:sz w:val="24"/>
                <w:szCs w:val="24"/>
                <w:highlight w:val="none"/>
              </w:rPr>
              <w:t>分。</w:t>
            </w:r>
            <w:r>
              <w:rPr>
                <w:rFonts w:hint="eastAsia" w:ascii="宋体" w:hAnsi="宋体" w:cs="宋体"/>
                <w:bCs/>
                <w:color w:val="auto"/>
                <w:sz w:val="24"/>
                <w:szCs w:val="24"/>
                <w:highlight w:val="none"/>
                <w:lang w:val="en-US" w:eastAsia="zh-CN"/>
              </w:rPr>
              <w:t>（0-4分）</w:t>
            </w:r>
          </w:p>
        </w:tc>
      </w:tr>
      <w:tr w14:paraId="291C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jc w:val="center"/>
        </w:trPr>
        <w:tc>
          <w:tcPr>
            <w:tcW w:w="1025" w:type="dxa"/>
            <w:vMerge w:val="continue"/>
            <w:vAlign w:val="center"/>
          </w:tcPr>
          <w:p w14:paraId="3E4C6492">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sz w:val="24"/>
                <w:szCs w:val="24"/>
                <w:highlight w:val="none"/>
              </w:rPr>
            </w:pPr>
          </w:p>
        </w:tc>
        <w:tc>
          <w:tcPr>
            <w:tcW w:w="1412" w:type="dxa"/>
            <w:shd w:val="clear" w:color="auto" w:fill="auto"/>
            <w:vAlign w:val="center"/>
          </w:tcPr>
          <w:p w14:paraId="26BAF0BC">
            <w:pPr>
              <w:keepNext w:val="0"/>
              <w:keepLines w:val="0"/>
              <w:pageBreakBefore w:val="0"/>
              <w:widowControl w:val="0"/>
              <w:kinsoku/>
              <w:wordWrap/>
              <w:overflowPunct/>
              <w:topLinePunct w:val="0"/>
              <w:autoSpaceDE/>
              <w:autoSpaceDN/>
              <w:bidi w:val="0"/>
              <w:snapToGrid/>
              <w:spacing w:line="400" w:lineRule="exact"/>
              <w:ind w:left="0" w:leftChars="0"/>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产品性能</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lang w:val="en-US" w:eastAsia="zh-CN"/>
              </w:rPr>
              <w:t>分</w:t>
            </w:r>
          </w:p>
        </w:tc>
        <w:tc>
          <w:tcPr>
            <w:tcW w:w="6911" w:type="dxa"/>
            <w:shd w:val="clear" w:color="auto" w:fill="auto"/>
            <w:vAlign w:val="center"/>
          </w:tcPr>
          <w:p w14:paraId="21142C18">
            <w:pPr>
              <w:keepNext w:val="0"/>
              <w:keepLines w:val="0"/>
              <w:pageBreakBefore w:val="0"/>
              <w:widowControl w:val="0"/>
              <w:kinsoku/>
              <w:wordWrap/>
              <w:overflowPunct/>
              <w:topLinePunct w:val="0"/>
              <w:autoSpaceDE/>
              <w:autoSpaceDN/>
              <w:bidi w:val="0"/>
              <w:snapToGrid/>
              <w:spacing w:line="400" w:lineRule="exact"/>
              <w:ind w:left="0" w:leftChars="0"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根据各投标人所投不同型号产品的整体性能及稳定性、先进性、兼容性等</w:t>
            </w:r>
            <w:r>
              <w:rPr>
                <w:rFonts w:hint="eastAsia" w:ascii="宋体" w:hAnsi="宋体" w:cs="宋体"/>
                <w:color w:val="auto"/>
                <w:kern w:val="0"/>
                <w:sz w:val="24"/>
                <w:szCs w:val="24"/>
                <w:highlight w:val="none"/>
                <w:lang w:val="en-US" w:eastAsia="zh-CN"/>
              </w:rPr>
              <w:t>进行</w:t>
            </w:r>
            <w:r>
              <w:rPr>
                <w:rFonts w:hint="eastAsia" w:ascii="宋体" w:hAnsi="宋体" w:eastAsia="宋体" w:cs="宋体"/>
                <w:color w:val="auto"/>
                <w:kern w:val="0"/>
                <w:sz w:val="24"/>
                <w:szCs w:val="24"/>
                <w:highlight w:val="none"/>
                <w:lang w:eastAsia="zh-CN"/>
              </w:rPr>
              <w:t>评分。</w:t>
            </w:r>
            <w:r>
              <w:rPr>
                <w:rFonts w:hint="eastAsia" w:ascii="宋体" w:hAnsi="宋体" w:cs="宋体"/>
                <w:bCs/>
                <w:color w:val="auto"/>
                <w:sz w:val="24"/>
                <w:szCs w:val="24"/>
                <w:highlight w:val="none"/>
                <w:lang w:val="en-US" w:eastAsia="zh-CN"/>
              </w:rPr>
              <w:t>（0-4分）</w:t>
            </w:r>
          </w:p>
        </w:tc>
      </w:tr>
      <w:tr w14:paraId="42D7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6" w:hRule="atLeast"/>
          <w:jc w:val="center"/>
        </w:trPr>
        <w:tc>
          <w:tcPr>
            <w:tcW w:w="1025" w:type="dxa"/>
            <w:vMerge w:val="continue"/>
            <w:vAlign w:val="center"/>
          </w:tcPr>
          <w:p w14:paraId="33E58E53">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sz w:val="24"/>
                <w:szCs w:val="24"/>
                <w:highlight w:val="none"/>
              </w:rPr>
            </w:pPr>
          </w:p>
        </w:tc>
        <w:tc>
          <w:tcPr>
            <w:tcW w:w="1412" w:type="dxa"/>
            <w:shd w:val="clear" w:color="auto" w:fill="auto"/>
            <w:vAlign w:val="center"/>
          </w:tcPr>
          <w:p w14:paraId="60763887">
            <w:pPr>
              <w:keepNext w:val="0"/>
              <w:keepLines w:val="0"/>
              <w:pageBreakBefore w:val="0"/>
              <w:widowControl w:val="0"/>
              <w:suppressLineNumbers w:val="0"/>
              <w:kinsoku/>
              <w:wordWrap/>
              <w:overflowPunct/>
              <w:topLinePunct w:val="0"/>
              <w:bidi w:val="0"/>
              <w:snapToGrid/>
              <w:spacing w:beforeAutospacing="0" w:afterAutospacing="0" w:line="400" w:lineRule="exact"/>
              <w:ind w:right="0"/>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项目实施的重点、难点</w:t>
            </w:r>
            <w:r>
              <w:rPr>
                <w:rFonts w:hint="eastAsia" w:ascii="宋体" w:hAnsi="宋体" w:cs="宋体"/>
                <w:bCs/>
                <w:color w:val="auto"/>
                <w:sz w:val="24"/>
                <w:szCs w:val="24"/>
                <w:highlight w:val="none"/>
                <w:lang w:val="en-US" w:eastAsia="zh-CN"/>
              </w:rPr>
              <w:t>6分</w:t>
            </w:r>
          </w:p>
        </w:tc>
        <w:tc>
          <w:tcPr>
            <w:tcW w:w="6911" w:type="dxa"/>
            <w:shd w:val="clear" w:color="auto" w:fill="auto"/>
            <w:vAlign w:val="center"/>
          </w:tcPr>
          <w:p w14:paraId="4D28D035">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1.</w:t>
            </w:r>
            <w:r>
              <w:rPr>
                <w:rFonts w:hint="eastAsia" w:ascii="宋体" w:hAnsi="宋体" w:eastAsia="宋体" w:cs="宋体"/>
                <w:bCs/>
                <w:color w:val="auto"/>
                <w:sz w:val="24"/>
                <w:szCs w:val="24"/>
                <w:highlight w:val="none"/>
              </w:rPr>
              <w:t>根据投标人针对本项目在实施过程中的重点分析，并提出有效、合理的针对措施的</w:t>
            </w:r>
            <w:r>
              <w:rPr>
                <w:rFonts w:hint="eastAsia" w:ascii="宋体" w:hAnsi="宋体" w:eastAsia="宋体" w:cs="宋体"/>
                <w:bCs/>
                <w:color w:val="auto"/>
                <w:sz w:val="24"/>
                <w:szCs w:val="24"/>
                <w:highlight w:val="none"/>
                <w:lang w:val="en-US" w:eastAsia="zh-CN"/>
              </w:rPr>
              <w:t>进行评分</w:t>
            </w:r>
            <w:r>
              <w:rPr>
                <w:rFonts w:hint="eastAsia" w:ascii="宋体" w:hAnsi="宋体" w:cs="宋体"/>
                <w:bCs/>
                <w:color w:val="auto"/>
                <w:sz w:val="24"/>
                <w:szCs w:val="24"/>
                <w:highlight w:val="none"/>
                <w:lang w:val="en-US" w:eastAsia="zh-CN"/>
              </w:rPr>
              <w:t>（0-3分）</w:t>
            </w:r>
            <w:r>
              <w:rPr>
                <w:rFonts w:hint="eastAsia" w:ascii="宋体" w:hAnsi="宋体" w:eastAsia="宋体" w:cs="宋体"/>
                <w:bCs/>
                <w:color w:val="auto"/>
                <w:sz w:val="24"/>
                <w:szCs w:val="24"/>
                <w:highlight w:val="none"/>
              </w:rPr>
              <w:t>。</w:t>
            </w:r>
          </w:p>
          <w:p w14:paraId="7783E350">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jc w:val="both"/>
              <w:textAlignment w:val="auto"/>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2.</w:t>
            </w:r>
            <w:r>
              <w:rPr>
                <w:rFonts w:hint="eastAsia" w:ascii="宋体" w:hAnsi="宋体" w:eastAsia="宋体" w:cs="宋体"/>
                <w:bCs/>
                <w:color w:val="auto"/>
                <w:sz w:val="24"/>
                <w:szCs w:val="24"/>
                <w:highlight w:val="none"/>
              </w:rPr>
              <w:t>根据投标人针对本项目在实施过程中的</w:t>
            </w:r>
            <w:r>
              <w:rPr>
                <w:rFonts w:hint="eastAsia" w:ascii="宋体" w:hAnsi="宋体" w:cs="宋体"/>
                <w:bCs/>
                <w:color w:val="auto"/>
                <w:sz w:val="24"/>
                <w:szCs w:val="24"/>
                <w:highlight w:val="none"/>
                <w:lang w:val="en-US" w:eastAsia="zh-CN"/>
              </w:rPr>
              <w:t>难</w:t>
            </w:r>
            <w:r>
              <w:rPr>
                <w:rFonts w:hint="eastAsia" w:ascii="宋体" w:hAnsi="宋体" w:eastAsia="宋体" w:cs="宋体"/>
                <w:bCs/>
                <w:color w:val="auto"/>
                <w:sz w:val="24"/>
                <w:szCs w:val="24"/>
                <w:highlight w:val="none"/>
              </w:rPr>
              <w:t>点分析，并提出有效、合理的针对措施的</w:t>
            </w:r>
            <w:r>
              <w:rPr>
                <w:rFonts w:hint="eastAsia" w:ascii="宋体" w:hAnsi="宋体" w:eastAsia="宋体" w:cs="宋体"/>
                <w:bCs/>
                <w:color w:val="auto"/>
                <w:sz w:val="24"/>
                <w:szCs w:val="24"/>
                <w:highlight w:val="none"/>
                <w:lang w:val="en-US" w:eastAsia="zh-CN"/>
              </w:rPr>
              <w:t>进行评分</w:t>
            </w:r>
            <w:r>
              <w:rPr>
                <w:rFonts w:hint="eastAsia" w:ascii="宋体" w:hAnsi="宋体" w:cs="宋体"/>
                <w:bCs/>
                <w:color w:val="auto"/>
                <w:sz w:val="24"/>
                <w:szCs w:val="24"/>
                <w:highlight w:val="none"/>
                <w:lang w:val="en-US" w:eastAsia="zh-CN"/>
              </w:rPr>
              <w:t>（0-3分）</w:t>
            </w:r>
          </w:p>
        </w:tc>
      </w:tr>
      <w:tr w14:paraId="463B6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1025" w:type="dxa"/>
            <w:vMerge w:val="restart"/>
            <w:vAlign w:val="center"/>
          </w:tcPr>
          <w:p w14:paraId="6E5702E3">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资信及其他分</w:t>
            </w:r>
            <w:r>
              <w:rPr>
                <w:rFonts w:hint="eastAsia" w:ascii="宋体" w:hAnsi="宋体" w:cs="宋体"/>
                <w:color w:val="auto"/>
                <w:kern w:val="0"/>
                <w:sz w:val="24"/>
                <w:szCs w:val="24"/>
                <w:highlight w:val="none"/>
                <w:lang w:val="en-US" w:eastAsia="zh-CN"/>
              </w:rPr>
              <w:t>15</w:t>
            </w:r>
            <w:r>
              <w:rPr>
                <w:rFonts w:hint="eastAsia" w:ascii="宋体" w:hAnsi="宋体" w:eastAsia="宋体" w:cs="宋体"/>
                <w:color w:val="auto"/>
                <w:kern w:val="0"/>
                <w:sz w:val="24"/>
                <w:szCs w:val="24"/>
                <w:highlight w:val="none"/>
              </w:rPr>
              <w:t>分</w:t>
            </w:r>
          </w:p>
        </w:tc>
        <w:tc>
          <w:tcPr>
            <w:tcW w:w="1412" w:type="dxa"/>
            <w:shd w:val="clear" w:color="auto" w:fill="auto"/>
            <w:vAlign w:val="center"/>
          </w:tcPr>
          <w:p w14:paraId="4B7C14AB">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default" w:ascii="宋体" w:hAnsi="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类似业绩8分</w:t>
            </w:r>
          </w:p>
        </w:tc>
        <w:tc>
          <w:tcPr>
            <w:tcW w:w="6911" w:type="dxa"/>
            <w:shd w:val="clear" w:color="auto" w:fill="auto"/>
            <w:vAlign w:val="top"/>
          </w:tcPr>
          <w:p w14:paraId="63BD9B3C">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投标人</w:t>
            </w:r>
            <w:r>
              <w:rPr>
                <w:rFonts w:hint="eastAsia" w:ascii="宋体" w:hAnsi="宋体" w:eastAsia="宋体" w:cs="宋体"/>
                <w:bCs/>
                <w:color w:val="auto"/>
                <w:sz w:val="24"/>
                <w:szCs w:val="24"/>
                <w:highlight w:val="none"/>
              </w:rPr>
              <w:t>自202</w:t>
            </w:r>
            <w:r>
              <w:rPr>
                <w:rFonts w:hint="eastAsia" w:ascii="宋体" w:hAnsi="宋体" w:cs="宋体"/>
                <w:bCs/>
                <w:color w:val="auto"/>
                <w:sz w:val="24"/>
                <w:szCs w:val="24"/>
                <w:highlight w:val="none"/>
                <w:lang w:val="en-US" w:eastAsia="zh-CN"/>
              </w:rPr>
              <w:t>3</w:t>
            </w:r>
            <w:r>
              <w:rPr>
                <w:rFonts w:hint="eastAsia" w:ascii="宋体" w:hAnsi="宋体" w:eastAsia="宋体" w:cs="宋体"/>
                <w:bCs/>
                <w:color w:val="auto"/>
                <w:sz w:val="24"/>
                <w:szCs w:val="24"/>
                <w:highlight w:val="none"/>
              </w:rPr>
              <w:t>年1月1日以来每完成一个</w:t>
            </w:r>
            <w:r>
              <w:rPr>
                <w:rFonts w:hint="eastAsia" w:ascii="宋体" w:hAnsi="宋体" w:eastAsia="宋体" w:cs="宋体"/>
                <w:bCs/>
                <w:color w:val="auto"/>
                <w:sz w:val="24"/>
                <w:szCs w:val="24"/>
                <w:highlight w:val="none"/>
                <w:lang w:eastAsia="zh-CN"/>
              </w:rPr>
              <w:t>类似</w:t>
            </w:r>
            <w:r>
              <w:rPr>
                <w:rFonts w:hint="eastAsia" w:ascii="宋体" w:hAnsi="宋体" w:eastAsia="宋体" w:cs="宋体"/>
                <w:bCs/>
                <w:color w:val="auto"/>
                <w:sz w:val="24"/>
                <w:szCs w:val="24"/>
                <w:highlight w:val="none"/>
              </w:rPr>
              <w:t>项目业绩</w:t>
            </w:r>
            <w:r>
              <w:rPr>
                <w:rFonts w:hint="eastAsia" w:ascii="宋体" w:hAnsi="宋体" w:eastAsia="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废气治理设备类</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得</w:t>
            </w:r>
            <w:r>
              <w:rPr>
                <w:rFonts w:hint="eastAsia" w:ascii="宋体" w:hAnsi="宋体" w:cs="宋体"/>
                <w:bCs/>
                <w:color w:val="auto"/>
                <w:sz w:val="24"/>
                <w:szCs w:val="24"/>
                <w:highlight w:val="none"/>
                <w:lang w:val="en-US" w:eastAsia="zh-CN"/>
              </w:rPr>
              <w:t>2</w:t>
            </w:r>
            <w:r>
              <w:rPr>
                <w:rFonts w:hint="eastAsia" w:ascii="宋体" w:hAnsi="宋体" w:eastAsia="宋体" w:cs="宋体"/>
                <w:bCs/>
                <w:color w:val="auto"/>
                <w:sz w:val="24"/>
                <w:szCs w:val="24"/>
                <w:highlight w:val="none"/>
              </w:rPr>
              <w:t>分，最高得</w:t>
            </w:r>
            <w:r>
              <w:rPr>
                <w:rFonts w:hint="eastAsia" w:ascii="宋体" w:hAnsi="宋体" w:cs="宋体"/>
                <w:bCs/>
                <w:color w:val="auto"/>
                <w:sz w:val="24"/>
                <w:szCs w:val="24"/>
                <w:highlight w:val="none"/>
                <w:lang w:val="en-US" w:eastAsia="zh-CN"/>
              </w:rPr>
              <w:t>8</w:t>
            </w:r>
            <w:r>
              <w:rPr>
                <w:rFonts w:hint="eastAsia" w:ascii="宋体" w:hAnsi="宋体" w:eastAsia="宋体" w:cs="宋体"/>
                <w:bCs/>
                <w:color w:val="auto"/>
                <w:sz w:val="24"/>
                <w:szCs w:val="24"/>
                <w:highlight w:val="none"/>
              </w:rPr>
              <w:t>分。</w:t>
            </w:r>
          </w:p>
          <w:p w14:paraId="2725AD62">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注：提供合同复印件或扫描件、</w:t>
            </w:r>
            <w:r>
              <w:rPr>
                <w:rFonts w:hint="eastAsia" w:ascii="宋体" w:hAnsi="宋体" w:cs="宋体"/>
                <w:bCs/>
                <w:color w:val="auto"/>
                <w:sz w:val="24"/>
                <w:szCs w:val="24"/>
                <w:highlight w:val="none"/>
                <w:lang w:val="en-US" w:eastAsia="zh-CN"/>
              </w:rPr>
              <w:t>验收证明材料（如</w:t>
            </w:r>
            <w:r>
              <w:rPr>
                <w:rFonts w:hint="eastAsia" w:ascii="宋体" w:hAnsi="宋体" w:eastAsia="宋体" w:cs="宋体"/>
                <w:b w:val="0"/>
                <w:bCs w:val="0"/>
                <w:snapToGrid w:val="0"/>
                <w:color w:val="auto"/>
                <w:kern w:val="0"/>
                <w:sz w:val="24"/>
                <w:szCs w:val="24"/>
                <w:highlight w:val="none"/>
                <w:lang w:val="en-US" w:eastAsia="zh-CN"/>
              </w:rPr>
              <w:t>业主评价意见或资金结算单</w:t>
            </w:r>
            <w:r>
              <w:rPr>
                <w:rFonts w:hint="eastAsia" w:ascii="宋体" w:hAnsi="宋体" w:cs="宋体"/>
                <w:b w:val="0"/>
                <w:bCs w:val="0"/>
                <w:snapToGrid w:val="0"/>
                <w:color w:val="auto"/>
                <w:kern w:val="0"/>
                <w:sz w:val="24"/>
                <w:szCs w:val="24"/>
                <w:highlight w:val="none"/>
                <w:lang w:val="en-US" w:eastAsia="zh-CN"/>
              </w:rPr>
              <w:t>、发票</w:t>
            </w:r>
            <w:r>
              <w:rPr>
                <w:rFonts w:hint="eastAsia" w:ascii="宋体" w:hAnsi="宋体" w:eastAsia="宋体" w:cs="宋体"/>
                <w:b w:val="0"/>
                <w:bCs w:val="0"/>
                <w:snapToGrid w:val="0"/>
                <w:color w:val="auto"/>
                <w:kern w:val="0"/>
                <w:sz w:val="24"/>
                <w:szCs w:val="24"/>
                <w:highlight w:val="none"/>
                <w:lang w:val="en-US" w:eastAsia="zh-CN"/>
              </w:rPr>
              <w:t>等证明材料</w:t>
            </w:r>
            <w:r>
              <w:rPr>
                <w:rFonts w:hint="eastAsia" w:ascii="宋体" w:hAnsi="宋体" w:cs="宋体"/>
                <w:bCs/>
                <w:color w:val="auto"/>
                <w:sz w:val="24"/>
                <w:szCs w:val="24"/>
                <w:highlight w:val="none"/>
                <w:lang w:val="en-US" w:eastAsia="zh-CN"/>
              </w:rPr>
              <w:t>）</w:t>
            </w:r>
            <w:r>
              <w:rPr>
                <w:rFonts w:hint="eastAsia" w:ascii="宋体" w:hAnsi="宋体" w:eastAsia="宋体" w:cs="宋体"/>
                <w:bCs/>
                <w:color w:val="auto"/>
                <w:sz w:val="24"/>
                <w:szCs w:val="24"/>
                <w:highlight w:val="none"/>
              </w:rPr>
              <w:t>并加盖公章，未提供不得分。</w:t>
            </w:r>
          </w:p>
        </w:tc>
      </w:tr>
      <w:tr w14:paraId="578AA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025" w:type="dxa"/>
            <w:vMerge w:val="continue"/>
            <w:vAlign w:val="center"/>
          </w:tcPr>
          <w:p w14:paraId="50FA567F">
            <w:pPr>
              <w:pStyle w:val="7"/>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360" w:firstLineChars="150"/>
              <w:textAlignment w:val="auto"/>
              <w:rPr>
                <w:rFonts w:hint="eastAsia" w:ascii="宋体" w:hAnsi="宋体" w:eastAsia="宋体" w:cs="宋体"/>
                <w:color w:val="auto"/>
                <w:kern w:val="0"/>
                <w:sz w:val="24"/>
                <w:szCs w:val="24"/>
                <w:highlight w:val="none"/>
              </w:rPr>
            </w:pPr>
          </w:p>
        </w:tc>
        <w:tc>
          <w:tcPr>
            <w:tcW w:w="1412" w:type="dxa"/>
            <w:shd w:val="clear" w:color="auto" w:fill="auto"/>
            <w:vAlign w:val="center"/>
          </w:tcPr>
          <w:p w14:paraId="40F149A7">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质保期</w:t>
            </w:r>
          </w:p>
          <w:p w14:paraId="2C13E1D5">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default" w:ascii="宋体" w:hAnsi="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2分</w:t>
            </w:r>
          </w:p>
        </w:tc>
        <w:tc>
          <w:tcPr>
            <w:tcW w:w="6911" w:type="dxa"/>
            <w:shd w:val="clear" w:color="auto" w:fill="auto"/>
            <w:vAlign w:val="top"/>
          </w:tcPr>
          <w:p w14:paraId="0E2123DD">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质保期</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同维保期</w:t>
            </w:r>
            <w:r>
              <w:rPr>
                <w:rFonts w:hint="eastAsia" w:ascii="宋体" w:hAnsi="宋体" w:cs="宋体"/>
                <w:bCs/>
                <w:color w:val="auto"/>
                <w:sz w:val="24"/>
                <w:szCs w:val="24"/>
                <w:highlight w:val="none"/>
                <w:lang w:eastAsia="zh-CN"/>
              </w:rPr>
              <w:t>）</w:t>
            </w:r>
            <w:r>
              <w:rPr>
                <w:rFonts w:hint="eastAsia" w:ascii="宋体" w:hAnsi="宋体" w:eastAsia="宋体" w:cs="宋体"/>
                <w:bCs/>
                <w:color w:val="auto"/>
                <w:sz w:val="24"/>
                <w:szCs w:val="24"/>
                <w:highlight w:val="none"/>
              </w:rPr>
              <w:t>满足招标文件</w:t>
            </w:r>
            <w:r>
              <w:rPr>
                <w:rFonts w:hint="eastAsia" w:ascii="宋体" w:hAnsi="宋体" w:cs="宋体"/>
                <w:bCs/>
                <w:color w:val="auto"/>
                <w:sz w:val="24"/>
                <w:szCs w:val="24"/>
                <w:highlight w:val="none"/>
                <w:lang w:eastAsia="zh-CN"/>
              </w:rPr>
              <w:t>的</w:t>
            </w:r>
            <w:r>
              <w:rPr>
                <w:rFonts w:hint="eastAsia" w:ascii="宋体" w:hAnsi="宋体" w:cs="宋体"/>
                <w:bCs/>
                <w:color w:val="auto"/>
                <w:sz w:val="24"/>
                <w:szCs w:val="24"/>
                <w:highlight w:val="none"/>
                <w:lang w:val="en-US" w:eastAsia="zh-CN"/>
              </w:rPr>
              <w:t>基础上</w:t>
            </w:r>
            <w:r>
              <w:rPr>
                <w:rFonts w:hint="eastAsia" w:ascii="宋体" w:hAnsi="宋体" w:eastAsia="宋体" w:cs="宋体"/>
                <w:bCs/>
                <w:color w:val="auto"/>
                <w:sz w:val="24"/>
                <w:szCs w:val="24"/>
                <w:highlight w:val="none"/>
              </w:rPr>
              <w:t>每增加1年加1分</w:t>
            </w:r>
            <w:r>
              <w:rPr>
                <w:rFonts w:hint="eastAsia" w:ascii="宋体" w:hAnsi="宋体" w:eastAsia="宋体" w:cs="宋体"/>
                <w:bCs/>
                <w:color w:val="auto"/>
                <w:sz w:val="24"/>
                <w:szCs w:val="24"/>
                <w:highlight w:val="none"/>
                <w:lang w:eastAsia="zh-CN"/>
              </w:rPr>
              <w:t>，最高得</w:t>
            </w:r>
            <w:r>
              <w:rPr>
                <w:rFonts w:hint="eastAsia" w:ascii="宋体" w:hAnsi="宋体" w:eastAsia="宋体" w:cs="宋体"/>
                <w:bCs/>
                <w:color w:val="auto"/>
                <w:sz w:val="24"/>
                <w:szCs w:val="24"/>
                <w:highlight w:val="none"/>
                <w:lang w:val="en-US" w:eastAsia="zh-CN"/>
              </w:rPr>
              <w:t>2分。</w:t>
            </w:r>
          </w:p>
        </w:tc>
      </w:tr>
      <w:tr w14:paraId="24C70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25" w:type="dxa"/>
            <w:vMerge w:val="continue"/>
            <w:vAlign w:val="center"/>
          </w:tcPr>
          <w:p w14:paraId="41D57734">
            <w:pPr>
              <w:pStyle w:val="7"/>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360" w:firstLineChars="150"/>
              <w:textAlignment w:val="auto"/>
              <w:rPr>
                <w:rFonts w:hint="eastAsia" w:ascii="宋体" w:hAnsi="宋体" w:eastAsia="宋体" w:cs="宋体"/>
                <w:color w:val="auto"/>
                <w:kern w:val="0"/>
                <w:sz w:val="24"/>
                <w:szCs w:val="24"/>
                <w:highlight w:val="none"/>
              </w:rPr>
            </w:pPr>
          </w:p>
        </w:tc>
        <w:tc>
          <w:tcPr>
            <w:tcW w:w="1412" w:type="dxa"/>
            <w:shd w:val="clear" w:color="auto" w:fill="auto"/>
            <w:vAlign w:val="center"/>
          </w:tcPr>
          <w:p w14:paraId="21C19EF5">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default" w:ascii="仿宋" w:hAnsi="仿宋" w:eastAsia="仿宋" w:cs="仿宋"/>
                <w:color w:val="auto"/>
                <w:spacing w:val="-2"/>
                <w:kern w:val="0"/>
                <w:sz w:val="21"/>
                <w:szCs w:val="21"/>
                <w:highlight w:val="none"/>
                <w:lang w:val="en-US" w:eastAsia="zh-CN" w:bidi="ar-SA"/>
              </w:rPr>
            </w:pPr>
            <w:r>
              <w:rPr>
                <w:rFonts w:hint="eastAsia" w:ascii="宋体" w:hAnsi="宋体" w:cs="宋体"/>
                <w:bCs/>
                <w:color w:val="auto"/>
                <w:sz w:val="24"/>
                <w:szCs w:val="24"/>
                <w:highlight w:val="none"/>
                <w:lang w:val="en-US" w:eastAsia="zh-CN"/>
              </w:rPr>
              <w:t>售后服务及承诺5分</w:t>
            </w:r>
          </w:p>
        </w:tc>
        <w:tc>
          <w:tcPr>
            <w:tcW w:w="6911" w:type="dxa"/>
            <w:shd w:val="clear" w:color="auto" w:fill="auto"/>
            <w:vAlign w:val="top"/>
          </w:tcPr>
          <w:p w14:paraId="1A7872DB">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1.</w:t>
            </w:r>
            <w:r>
              <w:rPr>
                <w:rFonts w:hint="eastAsia" w:ascii="宋体" w:hAnsi="宋体" w:eastAsia="宋体" w:cs="宋体"/>
                <w:bCs/>
                <w:color w:val="auto"/>
                <w:sz w:val="24"/>
                <w:szCs w:val="24"/>
                <w:highlight w:val="none"/>
              </w:rPr>
              <w:t>售后响应时间：接到</w:t>
            </w:r>
            <w:r>
              <w:rPr>
                <w:rFonts w:hint="eastAsia" w:ascii="宋体" w:hAnsi="宋体" w:eastAsia="宋体" w:cs="宋体"/>
                <w:bCs/>
                <w:color w:val="auto"/>
                <w:sz w:val="24"/>
                <w:szCs w:val="24"/>
                <w:highlight w:val="none"/>
                <w:lang w:eastAsia="zh-CN"/>
              </w:rPr>
              <w:t>采购</w:t>
            </w:r>
            <w:r>
              <w:rPr>
                <w:rFonts w:hint="eastAsia" w:ascii="宋体" w:hAnsi="宋体" w:eastAsia="宋体" w:cs="宋体"/>
                <w:bCs/>
                <w:color w:val="auto"/>
                <w:sz w:val="24"/>
                <w:szCs w:val="24"/>
                <w:highlight w:val="none"/>
              </w:rPr>
              <w:t>人通知（电话、电传等）后</w:t>
            </w:r>
            <w:r>
              <w:rPr>
                <w:rFonts w:hint="eastAsia" w:ascii="宋体" w:hAnsi="宋体" w:cs="宋体"/>
                <w:bCs/>
                <w:color w:val="auto"/>
                <w:sz w:val="24"/>
                <w:szCs w:val="24"/>
                <w:highlight w:val="none"/>
                <w:lang w:val="en-US" w:eastAsia="zh-CN"/>
              </w:rPr>
              <w:t>2</w:t>
            </w:r>
            <w:r>
              <w:rPr>
                <w:rFonts w:hint="eastAsia" w:ascii="宋体" w:hAnsi="宋体" w:eastAsia="宋体" w:cs="宋体"/>
                <w:bCs/>
                <w:color w:val="auto"/>
                <w:sz w:val="24"/>
                <w:szCs w:val="24"/>
                <w:highlight w:val="none"/>
              </w:rPr>
              <w:t>小时内现场响应的不得分，每减少</w:t>
            </w:r>
            <w:r>
              <w:rPr>
                <w:rFonts w:hint="eastAsia" w:ascii="宋体" w:hAnsi="宋体" w:cs="宋体"/>
                <w:bCs/>
                <w:color w:val="auto"/>
                <w:sz w:val="24"/>
                <w:szCs w:val="24"/>
                <w:highlight w:val="none"/>
                <w:lang w:val="en-US" w:eastAsia="zh-CN"/>
              </w:rPr>
              <w:t>0.5</w:t>
            </w:r>
            <w:r>
              <w:rPr>
                <w:rFonts w:hint="eastAsia" w:ascii="宋体" w:hAnsi="宋体" w:eastAsia="宋体" w:cs="宋体"/>
                <w:bCs/>
                <w:color w:val="auto"/>
                <w:sz w:val="24"/>
                <w:szCs w:val="24"/>
                <w:highlight w:val="none"/>
              </w:rPr>
              <w:t>小时加1分，最高得2分。</w:t>
            </w:r>
          </w:p>
          <w:p w14:paraId="2B2E9582">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2.</w:t>
            </w:r>
            <w:r>
              <w:rPr>
                <w:rFonts w:hint="eastAsia" w:ascii="宋体" w:hAnsi="宋体" w:eastAsia="宋体" w:cs="宋体"/>
                <w:bCs/>
                <w:color w:val="auto"/>
                <w:sz w:val="24"/>
                <w:szCs w:val="24"/>
                <w:highlight w:val="none"/>
              </w:rPr>
              <w:t>售后服务承诺：根据投标人提供的售后服务承诺（售后服务人员保障及服务电话、对故障的响应处理、保修响应、备品备件、质保期后的维修、费用收取等）进行综合评审，本项最高得</w:t>
            </w:r>
            <w:r>
              <w:rPr>
                <w:rFonts w:hint="eastAsia" w:ascii="宋体" w:hAnsi="宋体" w:cs="宋体"/>
                <w:bCs/>
                <w:color w:val="auto"/>
                <w:sz w:val="24"/>
                <w:szCs w:val="24"/>
                <w:highlight w:val="none"/>
                <w:lang w:val="en-US" w:eastAsia="zh-CN"/>
              </w:rPr>
              <w:t>3</w:t>
            </w:r>
            <w:r>
              <w:rPr>
                <w:rFonts w:hint="eastAsia" w:ascii="宋体" w:hAnsi="宋体" w:eastAsia="宋体" w:cs="宋体"/>
                <w:bCs/>
                <w:color w:val="auto"/>
                <w:sz w:val="24"/>
                <w:szCs w:val="24"/>
                <w:highlight w:val="none"/>
              </w:rPr>
              <w:t>分。</w:t>
            </w:r>
          </w:p>
        </w:tc>
      </w:tr>
    </w:tbl>
    <w:p w14:paraId="7B1DA648">
      <w:pPr>
        <w:keepNext w:val="0"/>
        <w:keepLines w:val="0"/>
        <w:pageBreakBefore w:val="0"/>
        <w:widowControl w:val="0"/>
        <w:tabs>
          <w:tab w:val="left" w:pos="426"/>
        </w:tabs>
        <w:kinsoku/>
        <w:wordWrap/>
        <w:overflowPunct/>
        <w:topLinePunct w:val="0"/>
        <w:autoSpaceDE w:val="0"/>
        <w:autoSpaceDN w:val="0"/>
        <w:bidi w:val="0"/>
        <w:adjustRightInd w:val="0"/>
        <w:snapToGrid/>
        <w:spacing w:line="400" w:lineRule="exact"/>
        <w:ind w:left="0" w:right="0"/>
        <w:jc w:val="lef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三、技术、商务、资信及其他分的计算</w:t>
      </w:r>
    </w:p>
    <w:p w14:paraId="5081A3AB">
      <w:pPr>
        <w:keepNext w:val="0"/>
        <w:keepLines w:val="0"/>
        <w:pageBreakBefore w:val="0"/>
        <w:widowControl w:val="0"/>
        <w:tabs>
          <w:tab w:val="left" w:pos="426"/>
        </w:tabs>
        <w:kinsoku/>
        <w:wordWrap/>
        <w:overflowPunct/>
        <w:topLinePunct w:val="0"/>
        <w:autoSpaceDE w:val="0"/>
        <w:autoSpaceDN w:val="0"/>
        <w:bidi w:val="0"/>
        <w:adjustRightInd w:val="0"/>
        <w:snapToGrid/>
        <w:spacing w:line="400" w:lineRule="exact"/>
        <w:ind w:left="0" w:right="0"/>
        <w:jc w:val="left"/>
        <w:textAlignment w:val="auto"/>
        <w:rPr>
          <w:rFonts w:hint="eastAsia" w:ascii="宋体" w:hAnsi="宋体" w:eastAsia="宋体" w:cs="宋体"/>
          <w:b/>
          <w:bCs/>
          <w:color w:val="auto"/>
          <w:kern w:val="0"/>
          <w:sz w:val="24"/>
          <w:szCs w:val="24"/>
          <w:highlight w:val="none"/>
        </w:rPr>
      </w:pPr>
      <w:r>
        <w:rPr>
          <w:rFonts w:hint="eastAsia" w:ascii="宋体" w:hAnsi="宋体" w:eastAsia="宋体" w:cs="宋体"/>
          <w:bCs/>
          <w:color w:val="auto"/>
          <w:kern w:val="0"/>
          <w:sz w:val="24"/>
          <w:szCs w:val="24"/>
          <w:highlight w:val="none"/>
        </w:rPr>
        <w:t>技术、商务、资信及其他分按照评审委员会成员的独立评分结果汇总数的算术平均分计算，计算公式为：</w:t>
      </w:r>
      <w:r>
        <w:rPr>
          <w:rFonts w:hint="eastAsia" w:ascii="宋体" w:hAnsi="宋体" w:eastAsia="宋体" w:cs="宋体"/>
          <w:b/>
          <w:bCs/>
          <w:color w:val="auto"/>
          <w:kern w:val="0"/>
          <w:sz w:val="24"/>
          <w:szCs w:val="24"/>
          <w:highlight w:val="none"/>
        </w:rPr>
        <w:t>技术商务资信及其他分=评审委员会所有成员评分合计数/评审委员会组成人员数。</w:t>
      </w:r>
    </w:p>
    <w:p w14:paraId="67FC662D">
      <w:pPr>
        <w:keepNext w:val="0"/>
        <w:keepLines w:val="0"/>
        <w:pageBreakBefore w:val="0"/>
        <w:widowControl w:val="0"/>
        <w:kinsoku/>
        <w:wordWrap/>
        <w:overflowPunct/>
        <w:topLinePunct w:val="0"/>
        <w:bidi w:val="0"/>
        <w:snapToGrid/>
        <w:spacing w:line="400" w:lineRule="exact"/>
        <w:textAlignment w:val="auto"/>
        <w:rPr>
          <w:color w:val="auto"/>
          <w:highlight w:val="none"/>
        </w:rPr>
      </w:pPr>
    </w:p>
    <w:p w14:paraId="7E52E182">
      <w:pPr>
        <w:adjustRightInd w:val="0"/>
        <w:ind w:firstLine="2409" w:firstLineChars="800"/>
        <w:outlineLvl w:val="0"/>
        <w:rPr>
          <w:rFonts w:hint="eastAsia" w:ascii="宋体" w:hAnsi="宋体"/>
          <w:b/>
          <w:bCs/>
          <w:color w:val="auto"/>
          <w:sz w:val="30"/>
          <w:szCs w:val="30"/>
          <w:highlight w:val="none"/>
        </w:rPr>
        <w:sectPr>
          <w:pgSz w:w="11906" w:h="16838"/>
          <w:pgMar w:top="1474" w:right="1247" w:bottom="1247" w:left="1247" w:header="851" w:footer="851" w:gutter="0"/>
          <w:cols w:space="720" w:num="1"/>
          <w:titlePg/>
          <w:docGrid w:linePitch="312" w:charSpace="0"/>
        </w:sectPr>
      </w:pPr>
      <w:bookmarkStart w:id="7" w:name="_Toc28957"/>
    </w:p>
    <w:p w14:paraId="666A735C">
      <w:pPr>
        <w:numPr>
          <w:ilvl w:val="0"/>
          <w:numId w:val="0"/>
        </w:numPr>
        <w:tabs>
          <w:tab w:val="left" w:pos="2472"/>
        </w:tabs>
        <w:snapToGrid w:val="0"/>
        <w:jc w:val="center"/>
        <w:outlineLvl w:val="0"/>
        <w:rPr>
          <w:rFonts w:hint="eastAsia" w:ascii="宋体" w:hAnsi="宋体"/>
          <w:b/>
          <w:bCs/>
          <w:color w:val="auto"/>
          <w:sz w:val="30"/>
          <w:szCs w:val="30"/>
          <w:highlight w:val="none"/>
        </w:rPr>
      </w:pPr>
      <w:r>
        <w:rPr>
          <w:rFonts w:hint="eastAsia" w:ascii="宋体" w:hAnsi="宋体"/>
          <w:b/>
          <w:bCs/>
          <w:color w:val="auto"/>
          <w:sz w:val="30"/>
          <w:szCs w:val="30"/>
          <w:highlight w:val="none"/>
        </w:rPr>
        <w:t>第五章 合同主要条款（仅供参考）</w:t>
      </w:r>
    </w:p>
    <w:p w14:paraId="1C8E2AEA">
      <w:pPr>
        <w:jc w:val="center"/>
        <w:rPr>
          <w:color w:val="auto"/>
          <w:highlight w:val="none"/>
        </w:rPr>
      </w:pPr>
      <w:r>
        <w:rPr>
          <w:rFonts w:hint="eastAsia"/>
          <w:b/>
          <w:bCs/>
          <w:color w:val="auto"/>
          <w:sz w:val="28"/>
          <w:szCs w:val="36"/>
          <w:highlight w:val="none"/>
        </w:rPr>
        <w:t>采购合同指引（货物）</w:t>
      </w:r>
    </w:p>
    <w:p w14:paraId="285DDD10">
      <w:pPr>
        <w:rPr>
          <w:b/>
          <w:bCs/>
          <w:color w:val="auto"/>
          <w:sz w:val="28"/>
          <w:szCs w:val="36"/>
          <w:highlight w:val="none"/>
        </w:rPr>
      </w:pPr>
    </w:p>
    <w:p w14:paraId="212BD08E">
      <w:pPr>
        <w:snapToGrid w:val="0"/>
        <w:spacing w:line="288" w:lineRule="auto"/>
        <w:rPr>
          <w:color w:val="auto"/>
          <w:highlight w:val="none"/>
        </w:rPr>
      </w:pPr>
      <w:r>
        <w:rPr>
          <w:rFonts w:hint="eastAsia" w:ascii="宋体" w:hAnsi="宋体" w:cs="宋体"/>
          <w:color w:val="auto"/>
          <w:szCs w:val="21"/>
          <w:highlight w:val="none"/>
        </w:rPr>
        <w:t>项目名称：                项目编号：</w:t>
      </w:r>
    </w:p>
    <w:p w14:paraId="1984A00B">
      <w:pPr>
        <w:snapToGrid w:val="0"/>
        <w:spacing w:line="288" w:lineRule="auto"/>
        <w:rPr>
          <w:color w:val="auto"/>
          <w:highlight w:val="none"/>
        </w:rPr>
      </w:pPr>
      <w:r>
        <w:rPr>
          <w:rFonts w:hint="eastAsia" w:ascii="宋体" w:hAnsi="宋体" w:cs="宋体"/>
          <w:color w:val="auto"/>
          <w:szCs w:val="21"/>
          <w:highlight w:val="none"/>
        </w:rPr>
        <w:t>甲方：（采购人）</w:t>
      </w:r>
    </w:p>
    <w:p w14:paraId="1170C65A">
      <w:pPr>
        <w:snapToGrid w:val="0"/>
        <w:spacing w:line="288" w:lineRule="auto"/>
        <w:rPr>
          <w:color w:val="auto"/>
          <w:highlight w:val="none"/>
        </w:rPr>
      </w:pPr>
      <w:r>
        <w:rPr>
          <w:rFonts w:hint="eastAsia" w:ascii="宋体" w:hAnsi="宋体" w:cs="宋体"/>
          <w:color w:val="auto"/>
          <w:szCs w:val="21"/>
          <w:highlight w:val="none"/>
        </w:rPr>
        <w:t>乙方：（卖方）</w:t>
      </w:r>
    </w:p>
    <w:p w14:paraId="660B66C1">
      <w:pPr>
        <w:snapToGrid w:val="0"/>
        <w:spacing w:line="288" w:lineRule="auto"/>
        <w:ind w:left="0" w:right="0" w:firstLine="420"/>
        <w:rPr>
          <w:color w:val="auto"/>
          <w:highlight w:val="none"/>
        </w:rPr>
      </w:pPr>
      <w:r>
        <w:rPr>
          <w:rFonts w:hint="eastAsia" w:ascii="宋体" w:hAnsi="宋体" w:cs="宋体"/>
          <w:color w:val="auto"/>
          <w:szCs w:val="21"/>
          <w:highlight w:val="none"/>
        </w:rPr>
        <w:t>甲、乙双方根据</w:t>
      </w:r>
      <w:r>
        <w:rPr>
          <w:rFonts w:hint="eastAsia" w:ascii="宋体" w:hAnsi="宋体" w:cs="宋体"/>
          <w:color w:val="auto"/>
          <w:szCs w:val="21"/>
          <w:highlight w:val="none"/>
          <w:u w:val="single"/>
        </w:rPr>
        <w:t>关于      项目公开招标的</w:t>
      </w:r>
      <w:r>
        <w:rPr>
          <w:rFonts w:hint="eastAsia" w:ascii="宋体" w:hAnsi="宋体" w:cs="宋体"/>
          <w:color w:val="auto"/>
          <w:szCs w:val="21"/>
          <w:highlight w:val="none"/>
        </w:rPr>
        <w:t>结果，签署本合同。</w:t>
      </w:r>
    </w:p>
    <w:p w14:paraId="5B1FFFD3">
      <w:pPr>
        <w:snapToGrid w:val="0"/>
        <w:spacing w:line="288" w:lineRule="auto"/>
        <w:rPr>
          <w:rFonts w:hint="eastAsia" w:eastAsia="宋体"/>
          <w:color w:val="auto"/>
          <w:sz w:val="21"/>
          <w:szCs w:val="21"/>
          <w:highlight w:val="none"/>
          <w:lang w:eastAsia="zh-CN"/>
        </w:rPr>
      </w:pPr>
      <w:r>
        <w:rPr>
          <w:rFonts w:hint="eastAsia" w:ascii="宋体" w:hAnsi="宋体" w:cs="宋体"/>
          <w:b/>
          <w:color w:val="auto"/>
          <w:sz w:val="21"/>
          <w:szCs w:val="21"/>
          <w:highlight w:val="none"/>
        </w:rPr>
        <w:t>一、货物</w:t>
      </w:r>
      <w:r>
        <w:rPr>
          <w:rFonts w:hint="eastAsia" w:ascii="宋体" w:hAnsi="宋体" w:cs="宋体"/>
          <w:b/>
          <w:color w:val="auto"/>
          <w:sz w:val="21"/>
          <w:szCs w:val="21"/>
          <w:highlight w:val="none"/>
          <w:lang w:val="en-US" w:eastAsia="zh-CN"/>
        </w:rPr>
        <w:t>清单</w:t>
      </w:r>
    </w:p>
    <w:tbl>
      <w:tblPr>
        <w:tblStyle w:val="18"/>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866"/>
        <w:gridCol w:w="5839"/>
        <w:gridCol w:w="1070"/>
      </w:tblGrid>
      <w:tr w14:paraId="644A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437" w:type="pct"/>
            <w:vAlign w:val="center"/>
          </w:tcPr>
          <w:p w14:paraId="0B2048AB">
            <w:pPr>
              <w:jc w:val="cente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序号</w:t>
            </w:r>
          </w:p>
        </w:tc>
        <w:tc>
          <w:tcPr>
            <w:tcW w:w="970" w:type="pct"/>
            <w:vAlign w:val="center"/>
          </w:tcPr>
          <w:p w14:paraId="1FAB4726">
            <w:pPr>
              <w:jc w:val="cente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品名</w:t>
            </w:r>
          </w:p>
        </w:tc>
        <w:tc>
          <w:tcPr>
            <w:tcW w:w="3035" w:type="pct"/>
            <w:vAlign w:val="center"/>
          </w:tcPr>
          <w:p w14:paraId="35EE2C5F">
            <w:pPr>
              <w:jc w:val="cente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规格及尺寸</w:t>
            </w:r>
          </w:p>
        </w:tc>
        <w:tc>
          <w:tcPr>
            <w:tcW w:w="556" w:type="pct"/>
            <w:vAlign w:val="center"/>
          </w:tcPr>
          <w:p w14:paraId="4E7C9820">
            <w:pPr>
              <w:jc w:val="cente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数量</w:t>
            </w:r>
          </w:p>
        </w:tc>
      </w:tr>
      <w:tr w14:paraId="4C51D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4510A6BB">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p>
        </w:tc>
        <w:tc>
          <w:tcPr>
            <w:tcW w:w="970" w:type="pct"/>
            <w:vAlign w:val="center"/>
          </w:tcPr>
          <w:p w14:paraId="20E0FFFE">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气旋塔</w:t>
            </w:r>
          </w:p>
        </w:tc>
        <w:tc>
          <w:tcPr>
            <w:tcW w:w="3035" w:type="pct"/>
            <w:vAlign w:val="center"/>
          </w:tcPr>
          <w:p w14:paraId="45CCBCB5">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2500mmX1000mmX2500mm、材质碳钢Q235厚2.75mm、一层喷淋内部陶瓷填充、750W循环水泵一台</w:t>
            </w:r>
            <w:r>
              <w:rPr>
                <w:rFonts w:hint="eastAsia" w:ascii="Times New Roman" w:hAnsi="Times New Roman" w:eastAsia="宋体" w:cs="Times New Roman"/>
                <w:color w:val="auto"/>
                <w:sz w:val="21"/>
                <w:szCs w:val="21"/>
                <w:highlight w:val="none"/>
              </w:rPr>
              <w:t>，绿色</w:t>
            </w:r>
            <w:r>
              <w:rPr>
                <w:rFonts w:ascii="Times New Roman" w:hAnsi="Times New Roman" w:eastAsia="宋体" w:cs="Times New Roman"/>
                <w:color w:val="auto"/>
                <w:sz w:val="21"/>
                <w:szCs w:val="21"/>
                <w:highlight w:val="none"/>
              </w:rPr>
              <w:t>防腐漆</w:t>
            </w:r>
          </w:p>
        </w:tc>
        <w:tc>
          <w:tcPr>
            <w:tcW w:w="556" w:type="pct"/>
            <w:vAlign w:val="center"/>
          </w:tcPr>
          <w:p w14:paraId="6C5F5E3B">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两座</w:t>
            </w:r>
          </w:p>
        </w:tc>
      </w:tr>
      <w:tr w14:paraId="6028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486B7B74">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w:t>
            </w:r>
          </w:p>
        </w:tc>
        <w:tc>
          <w:tcPr>
            <w:tcW w:w="970" w:type="pct"/>
            <w:vAlign w:val="center"/>
          </w:tcPr>
          <w:p w14:paraId="3C8CD5D3">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冷却塔</w:t>
            </w:r>
          </w:p>
        </w:tc>
        <w:tc>
          <w:tcPr>
            <w:tcW w:w="3035" w:type="pct"/>
            <w:vAlign w:val="center"/>
          </w:tcPr>
          <w:p w14:paraId="52125D25">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直径1200mmX1500mm、材质玻璃钢、处理水量15T、电机功率370W</w:t>
            </w:r>
          </w:p>
        </w:tc>
        <w:tc>
          <w:tcPr>
            <w:tcW w:w="556" w:type="pct"/>
            <w:vAlign w:val="center"/>
          </w:tcPr>
          <w:p w14:paraId="092472D8">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两座</w:t>
            </w:r>
          </w:p>
        </w:tc>
      </w:tr>
      <w:tr w14:paraId="38CA2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6FA7A346">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3</w:t>
            </w:r>
          </w:p>
        </w:tc>
        <w:tc>
          <w:tcPr>
            <w:tcW w:w="970" w:type="pct"/>
            <w:vAlign w:val="center"/>
          </w:tcPr>
          <w:p w14:paraId="7B61488F">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冷却水箱</w:t>
            </w:r>
          </w:p>
        </w:tc>
        <w:tc>
          <w:tcPr>
            <w:tcW w:w="3035" w:type="pct"/>
            <w:vAlign w:val="center"/>
          </w:tcPr>
          <w:p w14:paraId="64D54172">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尺寸3000mmX2000mmX900mm、材质碳钢Q235厚2.75mm、储水5T</w:t>
            </w:r>
          </w:p>
        </w:tc>
        <w:tc>
          <w:tcPr>
            <w:tcW w:w="556" w:type="pct"/>
            <w:vAlign w:val="center"/>
          </w:tcPr>
          <w:p w14:paraId="7B474F93">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一座</w:t>
            </w:r>
          </w:p>
        </w:tc>
      </w:tr>
      <w:tr w14:paraId="3B2F9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437" w:type="pct"/>
            <w:vAlign w:val="center"/>
          </w:tcPr>
          <w:p w14:paraId="2A798CE1">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4</w:t>
            </w:r>
          </w:p>
        </w:tc>
        <w:tc>
          <w:tcPr>
            <w:tcW w:w="970" w:type="pct"/>
            <w:vAlign w:val="center"/>
          </w:tcPr>
          <w:p w14:paraId="0649B544">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离心风机</w:t>
            </w:r>
          </w:p>
        </w:tc>
        <w:tc>
          <w:tcPr>
            <w:tcW w:w="3035" w:type="pct"/>
            <w:vAlign w:val="center"/>
          </w:tcPr>
          <w:p w14:paraId="7D5AAAC5">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功率3KW、外壳碳钢耐高温</w:t>
            </w:r>
          </w:p>
        </w:tc>
        <w:tc>
          <w:tcPr>
            <w:tcW w:w="556" w:type="pct"/>
            <w:vAlign w:val="center"/>
          </w:tcPr>
          <w:p w14:paraId="462281AF">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两台</w:t>
            </w:r>
          </w:p>
        </w:tc>
      </w:tr>
      <w:tr w14:paraId="2BB5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37" w:type="pct"/>
            <w:vAlign w:val="center"/>
          </w:tcPr>
          <w:p w14:paraId="52C57CC4">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5</w:t>
            </w:r>
          </w:p>
        </w:tc>
        <w:tc>
          <w:tcPr>
            <w:tcW w:w="970" w:type="pct"/>
            <w:vAlign w:val="center"/>
          </w:tcPr>
          <w:p w14:paraId="66043EA8">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配电柜</w:t>
            </w:r>
          </w:p>
        </w:tc>
        <w:tc>
          <w:tcPr>
            <w:tcW w:w="3035" w:type="pct"/>
            <w:vAlign w:val="center"/>
          </w:tcPr>
          <w:p w14:paraId="3CAACF9B">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变频控制柜、手动调节、挂墙式、电器装配</w:t>
            </w:r>
          </w:p>
        </w:tc>
        <w:tc>
          <w:tcPr>
            <w:tcW w:w="556" w:type="pct"/>
            <w:vAlign w:val="center"/>
          </w:tcPr>
          <w:p w14:paraId="0ACE4C0B">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两台</w:t>
            </w:r>
          </w:p>
        </w:tc>
      </w:tr>
      <w:tr w14:paraId="5114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437" w:type="pct"/>
            <w:vAlign w:val="center"/>
          </w:tcPr>
          <w:p w14:paraId="0A5AAC5D">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6</w:t>
            </w:r>
          </w:p>
        </w:tc>
        <w:tc>
          <w:tcPr>
            <w:tcW w:w="970" w:type="pct"/>
            <w:vAlign w:val="center"/>
          </w:tcPr>
          <w:p w14:paraId="02A71E99">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管道</w:t>
            </w:r>
          </w:p>
        </w:tc>
        <w:tc>
          <w:tcPr>
            <w:tcW w:w="3035" w:type="pct"/>
            <w:vAlign w:val="center"/>
          </w:tcPr>
          <w:p w14:paraId="55586979">
            <w:pPr>
              <w:jc w:val="center"/>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材质碳钢Q235厚2.75mm</w:t>
            </w:r>
            <w:r>
              <w:rPr>
                <w:rFonts w:hint="eastAsia" w:ascii="Times New Roman" w:hAnsi="Times New Roman" w:eastAsia="宋体" w:cs="Times New Roman"/>
                <w:color w:val="auto"/>
                <w:sz w:val="21"/>
                <w:szCs w:val="21"/>
                <w:highlight w:val="none"/>
              </w:rPr>
              <w:t>，</w:t>
            </w:r>
            <w:r>
              <w:rPr>
                <w:rFonts w:hint="eastAsia" w:cs="Times New Roman"/>
                <w:color w:val="auto"/>
                <w:sz w:val="21"/>
                <w:szCs w:val="21"/>
                <w:highlight w:val="none"/>
                <w:lang w:eastAsia="zh-CN"/>
              </w:rPr>
              <w:t>直径300mm，</w:t>
            </w:r>
            <w:r>
              <w:rPr>
                <w:rFonts w:hint="eastAsia" w:ascii="Times New Roman" w:hAnsi="Times New Roman" w:eastAsia="宋体" w:cs="Times New Roman"/>
                <w:color w:val="auto"/>
                <w:sz w:val="21"/>
                <w:szCs w:val="21"/>
                <w:highlight w:val="none"/>
              </w:rPr>
              <w:t>绿色</w:t>
            </w:r>
            <w:r>
              <w:rPr>
                <w:rFonts w:ascii="Times New Roman" w:hAnsi="Times New Roman" w:eastAsia="宋体" w:cs="Times New Roman"/>
                <w:color w:val="auto"/>
                <w:sz w:val="21"/>
                <w:szCs w:val="21"/>
                <w:highlight w:val="none"/>
              </w:rPr>
              <w:t>防腐漆</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70米</w:t>
            </w:r>
          </w:p>
        </w:tc>
        <w:tc>
          <w:tcPr>
            <w:tcW w:w="556" w:type="pct"/>
            <w:vAlign w:val="center"/>
          </w:tcPr>
          <w:p w14:paraId="17929939">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一项</w:t>
            </w:r>
          </w:p>
        </w:tc>
      </w:tr>
      <w:tr w14:paraId="1963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437" w:type="pct"/>
            <w:vAlign w:val="center"/>
          </w:tcPr>
          <w:p w14:paraId="098911B5">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7</w:t>
            </w:r>
          </w:p>
        </w:tc>
        <w:tc>
          <w:tcPr>
            <w:tcW w:w="970" w:type="pct"/>
            <w:vAlign w:val="center"/>
          </w:tcPr>
          <w:p w14:paraId="2F68B3FB">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弯头</w:t>
            </w:r>
          </w:p>
        </w:tc>
        <w:tc>
          <w:tcPr>
            <w:tcW w:w="3035" w:type="pct"/>
            <w:vAlign w:val="center"/>
          </w:tcPr>
          <w:p w14:paraId="4718EC7C">
            <w:pPr>
              <w:jc w:val="center"/>
              <w:rPr>
                <w:rFonts w:hint="eastAsia" w:ascii="Times New Roman" w:hAnsi="Times New Roman" w:eastAsia="宋体" w:cs="Times New Roman"/>
                <w:color w:val="auto"/>
                <w:sz w:val="21"/>
                <w:szCs w:val="21"/>
                <w:highlight w:val="none"/>
                <w:lang w:eastAsia="zh-CN"/>
              </w:rPr>
            </w:pPr>
            <w:r>
              <w:rPr>
                <w:rFonts w:ascii="Times New Roman" w:hAnsi="Times New Roman" w:eastAsia="宋体" w:cs="Times New Roman"/>
                <w:color w:val="auto"/>
                <w:sz w:val="21"/>
                <w:szCs w:val="21"/>
                <w:highlight w:val="none"/>
              </w:rPr>
              <w:t>材质碳钢Q235厚2.75mm</w:t>
            </w:r>
            <w:r>
              <w:rPr>
                <w:rFonts w:hint="eastAsia" w:cs="Times New Roman"/>
                <w:color w:val="auto"/>
                <w:sz w:val="21"/>
                <w:szCs w:val="21"/>
                <w:highlight w:val="none"/>
                <w:lang w:eastAsia="zh-CN"/>
              </w:rPr>
              <w:t>，直径300mm</w:t>
            </w:r>
          </w:p>
        </w:tc>
        <w:tc>
          <w:tcPr>
            <w:tcW w:w="556" w:type="pct"/>
            <w:vAlign w:val="center"/>
          </w:tcPr>
          <w:p w14:paraId="43B49738">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9个</w:t>
            </w:r>
          </w:p>
        </w:tc>
      </w:tr>
      <w:tr w14:paraId="242E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37" w:type="pct"/>
            <w:vAlign w:val="center"/>
          </w:tcPr>
          <w:p w14:paraId="016E0DF0">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8</w:t>
            </w:r>
          </w:p>
        </w:tc>
        <w:tc>
          <w:tcPr>
            <w:tcW w:w="970" w:type="pct"/>
            <w:vAlign w:val="center"/>
          </w:tcPr>
          <w:p w14:paraId="7A1AE111">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检测口</w:t>
            </w:r>
          </w:p>
        </w:tc>
        <w:tc>
          <w:tcPr>
            <w:tcW w:w="3035" w:type="pct"/>
            <w:vAlign w:val="center"/>
          </w:tcPr>
          <w:p w14:paraId="6BCF71F9">
            <w:pPr>
              <w:jc w:val="center"/>
              <w:rPr>
                <w:rFonts w:hint="eastAsia" w:ascii="Times New Roman" w:hAnsi="Times New Roman" w:eastAsia="宋体" w:cs="Times New Roman"/>
                <w:color w:val="auto"/>
                <w:sz w:val="21"/>
                <w:szCs w:val="21"/>
                <w:highlight w:val="none"/>
                <w:lang w:eastAsia="zh-CN"/>
              </w:rPr>
            </w:pPr>
            <w:r>
              <w:rPr>
                <w:rFonts w:ascii="Times New Roman" w:hAnsi="Times New Roman" w:eastAsia="宋体" w:cs="Times New Roman"/>
                <w:color w:val="auto"/>
                <w:sz w:val="21"/>
                <w:szCs w:val="21"/>
                <w:highlight w:val="none"/>
              </w:rPr>
              <w:t>材质碳钢Q235厚2.75mm</w:t>
            </w:r>
          </w:p>
        </w:tc>
        <w:tc>
          <w:tcPr>
            <w:tcW w:w="556" w:type="pct"/>
            <w:vAlign w:val="center"/>
          </w:tcPr>
          <w:p w14:paraId="01DEF696">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4个</w:t>
            </w:r>
          </w:p>
        </w:tc>
      </w:tr>
      <w:tr w14:paraId="25E54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37" w:type="pct"/>
            <w:vAlign w:val="center"/>
          </w:tcPr>
          <w:p w14:paraId="5668C7A0">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9</w:t>
            </w:r>
          </w:p>
        </w:tc>
        <w:tc>
          <w:tcPr>
            <w:tcW w:w="970" w:type="pct"/>
            <w:vAlign w:val="center"/>
          </w:tcPr>
          <w:p w14:paraId="21D7E07E">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五金电料</w:t>
            </w:r>
          </w:p>
        </w:tc>
        <w:tc>
          <w:tcPr>
            <w:tcW w:w="3035" w:type="pct"/>
            <w:vAlign w:val="center"/>
          </w:tcPr>
          <w:p w14:paraId="5E5D4AFA">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焊条、钢丝绳、支架、风机线缆</w:t>
            </w:r>
          </w:p>
        </w:tc>
        <w:tc>
          <w:tcPr>
            <w:tcW w:w="556" w:type="pct"/>
            <w:vAlign w:val="center"/>
          </w:tcPr>
          <w:p w14:paraId="7D603DCE">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一批</w:t>
            </w:r>
          </w:p>
        </w:tc>
      </w:tr>
      <w:tr w14:paraId="01F13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7" w:type="pct"/>
            <w:vAlign w:val="center"/>
          </w:tcPr>
          <w:p w14:paraId="0257EC87">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10</w:t>
            </w:r>
          </w:p>
        </w:tc>
        <w:tc>
          <w:tcPr>
            <w:tcW w:w="970" w:type="pct"/>
            <w:vAlign w:val="center"/>
          </w:tcPr>
          <w:p w14:paraId="67BC1B0C">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设备平台</w:t>
            </w:r>
          </w:p>
        </w:tc>
        <w:tc>
          <w:tcPr>
            <w:tcW w:w="3035" w:type="pct"/>
            <w:vAlign w:val="center"/>
          </w:tcPr>
          <w:p w14:paraId="3E7B3C19">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使用14#槽钢焊接材质镀锌、3.5m*2m</w:t>
            </w:r>
          </w:p>
        </w:tc>
        <w:tc>
          <w:tcPr>
            <w:tcW w:w="556" w:type="pct"/>
            <w:vAlign w:val="center"/>
          </w:tcPr>
          <w:p w14:paraId="47DD3C85">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一座</w:t>
            </w:r>
          </w:p>
        </w:tc>
      </w:tr>
      <w:tr w14:paraId="0FA77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437" w:type="pct"/>
            <w:vAlign w:val="center"/>
          </w:tcPr>
          <w:p w14:paraId="47F8ADFA">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11</w:t>
            </w:r>
          </w:p>
        </w:tc>
        <w:tc>
          <w:tcPr>
            <w:tcW w:w="970" w:type="pct"/>
            <w:vAlign w:val="center"/>
          </w:tcPr>
          <w:p w14:paraId="6DD48B44">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设备平台</w:t>
            </w:r>
          </w:p>
        </w:tc>
        <w:tc>
          <w:tcPr>
            <w:tcW w:w="3035" w:type="pct"/>
            <w:vAlign w:val="center"/>
          </w:tcPr>
          <w:p w14:paraId="78B596AC">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使用14#槽钢焊接材质镀锌、9m*2m</w:t>
            </w:r>
          </w:p>
        </w:tc>
        <w:tc>
          <w:tcPr>
            <w:tcW w:w="556" w:type="pct"/>
            <w:vAlign w:val="center"/>
          </w:tcPr>
          <w:p w14:paraId="03995AED">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一座</w:t>
            </w:r>
          </w:p>
        </w:tc>
      </w:tr>
      <w:tr w14:paraId="4F1C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7" w:type="pct"/>
            <w:vAlign w:val="center"/>
          </w:tcPr>
          <w:p w14:paraId="1927B670">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12</w:t>
            </w:r>
          </w:p>
        </w:tc>
        <w:tc>
          <w:tcPr>
            <w:tcW w:w="970" w:type="pct"/>
            <w:vAlign w:val="center"/>
          </w:tcPr>
          <w:p w14:paraId="1A305CA3">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进水管、总电电缆</w:t>
            </w:r>
          </w:p>
        </w:tc>
        <w:tc>
          <w:tcPr>
            <w:tcW w:w="3035" w:type="pct"/>
            <w:vAlign w:val="center"/>
          </w:tcPr>
          <w:p w14:paraId="6B6AEB9F">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进水管25mm，材质ppr；线6平方</w:t>
            </w:r>
          </w:p>
        </w:tc>
        <w:tc>
          <w:tcPr>
            <w:tcW w:w="556" w:type="pct"/>
            <w:vAlign w:val="center"/>
          </w:tcPr>
          <w:p w14:paraId="4CAA5AB9">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r>
      <w:tr w14:paraId="0CA51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169E4981">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13</w:t>
            </w:r>
          </w:p>
        </w:tc>
        <w:tc>
          <w:tcPr>
            <w:tcW w:w="970" w:type="pct"/>
            <w:vAlign w:val="center"/>
          </w:tcPr>
          <w:p w14:paraId="3241B95C">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技术服务</w:t>
            </w:r>
          </w:p>
        </w:tc>
        <w:tc>
          <w:tcPr>
            <w:tcW w:w="3035" w:type="pct"/>
            <w:vAlign w:val="center"/>
          </w:tcPr>
          <w:p w14:paraId="2F62130F">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调试、维保（包含气旋塔水池清淤、管道及气旋塔补漆工作，两年）</w:t>
            </w:r>
          </w:p>
        </w:tc>
        <w:tc>
          <w:tcPr>
            <w:tcW w:w="556" w:type="pct"/>
            <w:vAlign w:val="center"/>
          </w:tcPr>
          <w:p w14:paraId="223C5B82">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w:t>
            </w:r>
          </w:p>
        </w:tc>
      </w:tr>
    </w:tbl>
    <w:p w14:paraId="4EC87480">
      <w:pPr>
        <w:keepNext w:val="0"/>
        <w:keepLines w:val="0"/>
        <w:pageBreakBefore w:val="0"/>
        <w:kinsoku/>
        <w:wordWrap/>
        <w:overflowPunct/>
        <w:topLinePunct w:val="0"/>
        <w:autoSpaceDN/>
        <w:bidi w:val="0"/>
        <w:adjustRightInd/>
        <w:snapToGrid w:val="0"/>
        <w:spacing w:line="400" w:lineRule="exact"/>
        <w:ind w:left="0" w:right="0" w:rightChars="0"/>
        <w:jc w:val="left"/>
        <w:textAlignment w:val="auto"/>
        <w:outlineLvl w:val="9"/>
        <w:rPr>
          <w:rFonts w:hint="eastAsia" w:cs="Times New Roman"/>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bidi="ar"/>
        </w:rPr>
        <w:t>注：检测</w:t>
      </w:r>
      <w:r>
        <w:rPr>
          <w:rFonts w:hint="eastAsia" w:ascii="Times New Roman" w:hAnsi="Times New Roman" w:eastAsia="宋体" w:cs="Times New Roman"/>
          <w:b/>
          <w:bCs w:val="0"/>
          <w:color w:val="auto"/>
          <w:sz w:val="21"/>
          <w:szCs w:val="21"/>
          <w:highlight w:val="none"/>
        </w:rPr>
        <w:t>烟尘、烟气黑度（3次/天，1天，2个采样口）</w:t>
      </w:r>
      <w:r>
        <w:rPr>
          <w:rFonts w:hint="eastAsia" w:cs="Times New Roman"/>
          <w:b/>
          <w:bCs w:val="0"/>
          <w:color w:val="auto"/>
          <w:sz w:val="21"/>
          <w:szCs w:val="21"/>
          <w:highlight w:val="none"/>
          <w:lang w:eastAsia="zh-CN"/>
        </w:rPr>
        <w:t>，</w:t>
      </w:r>
      <w:r>
        <w:rPr>
          <w:rFonts w:hint="eastAsia" w:cs="Times New Roman"/>
          <w:b/>
          <w:bCs w:val="0"/>
          <w:color w:val="auto"/>
          <w:sz w:val="21"/>
          <w:szCs w:val="21"/>
          <w:highlight w:val="none"/>
          <w:lang w:val="en-US" w:eastAsia="zh-CN"/>
        </w:rPr>
        <w:t>需按照《工业炉窑大气污染物排放标准》(GB9078-1996)、《关于印发&lt;湖州市工业炉窑大气污染深度治理实施方案&gt;的通知》标准执行。</w:t>
      </w:r>
    </w:p>
    <w:p w14:paraId="6F3E29F9">
      <w:pPr>
        <w:snapToGrid w:val="0"/>
        <w:spacing w:line="288" w:lineRule="auto"/>
        <w:rPr>
          <w:color w:val="auto"/>
          <w:sz w:val="21"/>
          <w:szCs w:val="21"/>
          <w:highlight w:val="none"/>
        </w:rPr>
      </w:pPr>
      <w:r>
        <w:rPr>
          <w:rFonts w:hint="eastAsia" w:ascii="宋体" w:hAnsi="宋体" w:cs="宋体"/>
          <w:b/>
          <w:color w:val="auto"/>
          <w:sz w:val="21"/>
          <w:szCs w:val="21"/>
          <w:highlight w:val="none"/>
        </w:rPr>
        <w:t>二、合同金额</w:t>
      </w:r>
    </w:p>
    <w:p w14:paraId="55C14118">
      <w:pPr>
        <w:snapToGrid w:val="0"/>
        <w:spacing w:before="120" w:after="120"/>
        <w:ind w:left="0" w:right="0" w:firstLine="420"/>
        <w:rPr>
          <w:color w:val="auto"/>
          <w:highlight w:val="none"/>
        </w:rPr>
      </w:pPr>
      <w:r>
        <w:rPr>
          <w:rFonts w:hint="eastAsia" w:ascii="宋体" w:hAnsi="宋体" w:cs="宋体"/>
          <w:color w:val="auto"/>
          <w:szCs w:val="21"/>
          <w:highlight w:val="none"/>
        </w:rPr>
        <w:t>本合同金额为（大写）：________________________元（￥____________元）人民币。</w:t>
      </w:r>
    </w:p>
    <w:p w14:paraId="598C8801">
      <w:pPr>
        <w:snapToGrid w:val="0"/>
        <w:spacing w:line="288" w:lineRule="auto"/>
        <w:rPr>
          <w:color w:val="auto"/>
          <w:highlight w:val="none"/>
        </w:rPr>
      </w:pPr>
      <w:r>
        <w:rPr>
          <w:rFonts w:hint="eastAsia" w:ascii="宋体" w:hAnsi="宋体" w:cs="宋体"/>
          <w:b/>
          <w:color w:val="auto"/>
          <w:szCs w:val="21"/>
          <w:highlight w:val="none"/>
        </w:rPr>
        <w:t>三、技术资料</w:t>
      </w:r>
    </w:p>
    <w:p w14:paraId="00DE95C7">
      <w:pPr>
        <w:snapToGrid w:val="0"/>
        <w:spacing w:line="288" w:lineRule="auto"/>
        <w:ind w:left="0" w:right="0" w:firstLine="420"/>
        <w:rPr>
          <w:color w:val="auto"/>
          <w:highlight w:val="none"/>
        </w:rPr>
      </w:pPr>
      <w:r>
        <w:rPr>
          <w:rFonts w:hint="eastAsia" w:ascii="宋体" w:hAnsi="宋体" w:cs="宋体"/>
          <w:color w:val="auto"/>
          <w:szCs w:val="21"/>
          <w:highlight w:val="none"/>
        </w:rPr>
        <w:t>1.乙方应按采购文件规定的时间向甲方提供使用货物的有关技术资料。</w:t>
      </w:r>
    </w:p>
    <w:p w14:paraId="076CF8EF">
      <w:pPr>
        <w:snapToGrid w:val="0"/>
        <w:spacing w:line="288" w:lineRule="auto"/>
        <w:ind w:left="0" w:right="0" w:firstLine="420"/>
        <w:rPr>
          <w:color w:val="auto"/>
          <w:highlight w:val="none"/>
        </w:rPr>
      </w:pPr>
      <w:r>
        <w:rPr>
          <w:rFonts w:hint="eastAsia" w:ascii="宋体" w:hAnsi="宋体" w:cs="宋体"/>
          <w:color w:val="auto"/>
          <w:szCs w:val="21"/>
          <w:highlight w:val="none"/>
        </w:rPr>
        <w:t>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7B57C7E2">
      <w:pPr>
        <w:snapToGrid w:val="0"/>
        <w:spacing w:line="288" w:lineRule="auto"/>
        <w:ind w:left="360" w:right="0" w:hanging="361"/>
        <w:rPr>
          <w:color w:val="auto"/>
          <w:highlight w:val="none"/>
        </w:rPr>
      </w:pPr>
      <w:r>
        <w:rPr>
          <w:rFonts w:hint="eastAsia" w:ascii="宋体" w:hAnsi="宋体" w:cs="宋体"/>
          <w:b/>
          <w:color w:val="auto"/>
          <w:szCs w:val="21"/>
          <w:highlight w:val="none"/>
        </w:rPr>
        <w:t>四、知识产权</w:t>
      </w:r>
    </w:p>
    <w:p w14:paraId="15444519">
      <w:pPr>
        <w:snapToGrid w:val="0"/>
        <w:spacing w:line="288" w:lineRule="auto"/>
        <w:ind w:left="0" w:right="0" w:firstLine="420"/>
        <w:rPr>
          <w:color w:val="auto"/>
          <w:highlight w:val="none"/>
        </w:rPr>
      </w:pPr>
      <w:r>
        <w:rPr>
          <w:rFonts w:hint="eastAsia" w:ascii="宋体" w:hAnsi="宋体" w:cs="宋体"/>
          <w:color w:val="auto"/>
          <w:szCs w:val="21"/>
          <w:highlight w:val="none"/>
        </w:rPr>
        <w:t>乙方应保证所提供的货物或其任何一部分均不会侵犯任何第三方的知识产权</w:t>
      </w:r>
      <w:r>
        <w:rPr>
          <w:rFonts w:hint="eastAsia" w:ascii="宋体" w:hAnsi="宋体" w:cs="宋体"/>
          <w:bCs/>
          <w:color w:val="auto"/>
          <w:szCs w:val="21"/>
          <w:highlight w:val="none"/>
        </w:rPr>
        <w:t>。</w:t>
      </w:r>
    </w:p>
    <w:p w14:paraId="06002CB0">
      <w:pPr>
        <w:snapToGrid w:val="0"/>
        <w:spacing w:line="288" w:lineRule="auto"/>
        <w:rPr>
          <w:color w:val="auto"/>
          <w:highlight w:val="none"/>
        </w:rPr>
      </w:pPr>
      <w:r>
        <w:rPr>
          <w:rFonts w:hint="eastAsia" w:ascii="宋体" w:hAnsi="宋体" w:cs="宋体"/>
          <w:b/>
          <w:color w:val="auto"/>
          <w:szCs w:val="21"/>
          <w:highlight w:val="none"/>
        </w:rPr>
        <w:t>五、产权担保</w:t>
      </w:r>
    </w:p>
    <w:p w14:paraId="09209BAE">
      <w:pPr>
        <w:snapToGrid w:val="0"/>
        <w:spacing w:line="288" w:lineRule="auto"/>
        <w:ind w:left="420" w:right="0" w:firstLine="63"/>
        <w:rPr>
          <w:color w:val="auto"/>
          <w:highlight w:val="none"/>
        </w:rPr>
      </w:pPr>
      <w:r>
        <w:rPr>
          <w:rFonts w:hint="eastAsia" w:ascii="宋体" w:hAnsi="宋体" w:cs="宋体"/>
          <w:color w:val="auto"/>
          <w:szCs w:val="21"/>
          <w:highlight w:val="none"/>
        </w:rPr>
        <w:t>乙方保证所交付的货物的所有权完全属于乙方且无任何抵押、查封等产权瑕疵。</w:t>
      </w:r>
    </w:p>
    <w:p w14:paraId="542CFA02">
      <w:pPr>
        <w:snapToGrid w:val="0"/>
        <w:spacing w:line="288" w:lineRule="auto"/>
        <w:ind w:left="358" w:right="0" w:hanging="358"/>
        <w:rPr>
          <w:color w:val="auto"/>
          <w:highlight w:val="none"/>
        </w:rPr>
      </w:pPr>
      <w:r>
        <w:rPr>
          <w:rFonts w:hint="eastAsia" w:ascii="宋体" w:hAnsi="宋体" w:cs="宋体"/>
          <w:b/>
          <w:color w:val="auto"/>
          <w:szCs w:val="21"/>
          <w:highlight w:val="none"/>
        </w:rPr>
        <w:t>六、履约保证金（如有）</w:t>
      </w:r>
    </w:p>
    <w:p w14:paraId="456E26FF">
      <w:pPr>
        <w:snapToGrid w:val="0"/>
        <w:spacing w:line="288" w:lineRule="auto"/>
        <w:ind w:left="420" w:right="0" w:firstLine="63"/>
        <w:rPr>
          <w:color w:val="auto"/>
          <w:highlight w:val="none"/>
        </w:rPr>
      </w:pPr>
      <w:r>
        <w:rPr>
          <w:rFonts w:hint="eastAsia" w:ascii="宋体" w:hAnsi="宋体" w:cs="宋体"/>
          <w:color w:val="auto"/>
          <w:szCs w:val="21"/>
          <w:highlight w:val="none"/>
        </w:rPr>
        <w:t>乙方交纳人民币</w:t>
      </w:r>
      <w:r>
        <w:rPr>
          <w:rFonts w:hint="eastAsia" w:ascii="宋体" w:hAnsi="宋体" w:cs="宋体"/>
          <w:b/>
          <w:color w:val="auto"/>
          <w:szCs w:val="21"/>
          <w:highlight w:val="none"/>
          <w:u w:val="single"/>
        </w:rPr>
        <w:t xml:space="preserve">       </w:t>
      </w:r>
      <w:r>
        <w:rPr>
          <w:rFonts w:hint="eastAsia" w:ascii="宋体" w:hAnsi="宋体" w:cs="宋体"/>
          <w:color w:val="auto"/>
          <w:szCs w:val="21"/>
          <w:highlight w:val="none"/>
        </w:rPr>
        <w:t>元作为本合同的履约保证金。</w:t>
      </w:r>
    </w:p>
    <w:p w14:paraId="671181C4">
      <w:pPr>
        <w:snapToGrid w:val="0"/>
        <w:spacing w:line="288" w:lineRule="auto"/>
        <w:ind w:left="358" w:right="0" w:hanging="358"/>
        <w:rPr>
          <w:color w:val="auto"/>
          <w:highlight w:val="none"/>
        </w:rPr>
      </w:pPr>
      <w:r>
        <w:rPr>
          <w:rFonts w:hint="eastAsia" w:ascii="宋体" w:hAnsi="宋体" w:cs="宋体"/>
          <w:b/>
          <w:color w:val="auto"/>
          <w:szCs w:val="21"/>
          <w:highlight w:val="none"/>
        </w:rPr>
        <w:t>七、转包或分包</w:t>
      </w:r>
    </w:p>
    <w:p w14:paraId="7A6459DF">
      <w:pPr>
        <w:snapToGrid w:val="0"/>
        <w:spacing w:line="288" w:lineRule="auto"/>
        <w:ind w:left="0" w:right="0" w:firstLine="420"/>
        <w:rPr>
          <w:color w:val="auto"/>
          <w:highlight w:val="none"/>
        </w:rPr>
      </w:pPr>
      <w:r>
        <w:rPr>
          <w:rFonts w:hint="eastAsia" w:ascii="宋体" w:hAnsi="宋体" w:cs="宋体"/>
          <w:color w:val="auto"/>
          <w:szCs w:val="21"/>
          <w:highlight w:val="none"/>
        </w:rPr>
        <w:t>1.本合同范围的货物，应由乙方直接供应，不得转让他人供应</w:t>
      </w:r>
    </w:p>
    <w:p w14:paraId="6150E039">
      <w:pPr>
        <w:snapToGrid w:val="0"/>
        <w:spacing w:line="288" w:lineRule="auto"/>
        <w:ind w:left="0" w:right="0" w:firstLine="420"/>
        <w:rPr>
          <w:color w:val="auto"/>
          <w:highlight w:val="none"/>
        </w:rPr>
      </w:pPr>
      <w:r>
        <w:rPr>
          <w:rFonts w:hint="eastAsia" w:ascii="宋体" w:hAnsi="宋体" w:cs="宋体"/>
          <w:color w:val="auto"/>
          <w:szCs w:val="21"/>
          <w:highlight w:val="none"/>
        </w:rPr>
        <w:t>2.除非得到甲方的书面同意，乙方不得将本合同范围的货物全部或部分分包给他人供应</w:t>
      </w:r>
    </w:p>
    <w:p w14:paraId="09D7CBED">
      <w:pPr>
        <w:snapToGrid w:val="0"/>
        <w:spacing w:line="288" w:lineRule="auto"/>
        <w:ind w:left="0" w:right="0" w:firstLine="420"/>
        <w:rPr>
          <w:color w:val="auto"/>
          <w:highlight w:val="none"/>
        </w:rPr>
      </w:pPr>
      <w:r>
        <w:rPr>
          <w:rFonts w:hint="eastAsia" w:ascii="宋体" w:hAnsi="宋体" w:cs="宋体"/>
          <w:color w:val="auto"/>
          <w:szCs w:val="21"/>
          <w:highlight w:val="none"/>
        </w:rPr>
        <w:t>3.如有转让和未经甲方同意的分包行为，甲方有权解除合同，并追究乙方的违约责任。</w:t>
      </w:r>
    </w:p>
    <w:p w14:paraId="40255A60">
      <w:pPr>
        <w:snapToGrid w:val="0"/>
        <w:spacing w:line="288" w:lineRule="auto"/>
        <w:rPr>
          <w:color w:val="auto"/>
          <w:highlight w:val="none"/>
        </w:rPr>
      </w:pPr>
      <w:r>
        <w:rPr>
          <w:rFonts w:hint="eastAsia" w:ascii="宋体" w:hAnsi="宋体" w:cs="宋体"/>
          <w:b/>
          <w:color w:val="auto"/>
          <w:szCs w:val="21"/>
          <w:highlight w:val="none"/>
        </w:rPr>
        <w:t>八、保修期和质保金</w:t>
      </w:r>
    </w:p>
    <w:p w14:paraId="498D936B">
      <w:pPr>
        <w:snapToGrid w:val="0"/>
        <w:spacing w:line="288" w:lineRule="auto"/>
        <w:ind w:left="0" w:right="0" w:firstLine="420"/>
        <w:rPr>
          <w:color w:val="auto"/>
          <w:highlight w:val="none"/>
        </w:rPr>
      </w:pPr>
      <w:r>
        <w:rPr>
          <w:rFonts w:hint="eastAsia" w:ascii="宋体" w:hAnsi="宋体" w:cs="宋体"/>
          <w:color w:val="auto"/>
          <w:szCs w:val="21"/>
          <w:highlight w:val="none"/>
        </w:rPr>
        <w:t>1.保修期     年。</w:t>
      </w:r>
    </w:p>
    <w:p w14:paraId="0B02FBF0">
      <w:pPr>
        <w:snapToGrid w:val="0"/>
        <w:spacing w:line="288" w:lineRule="auto"/>
        <w:ind w:left="0" w:right="0" w:firstLine="420"/>
        <w:rPr>
          <w:color w:val="auto"/>
          <w:highlight w:val="none"/>
        </w:rPr>
      </w:pPr>
      <w:r>
        <w:rPr>
          <w:rFonts w:hint="eastAsia" w:ascii="宋体" w:hAnsi="宋体" w:cs="宋体"/>
          <w:color w:val="auto"/>
          <w:szCs w:val="21"/>
          <w:highlight w:val="none"/>
        </w:rPr>
        <w:t>2.质保金    元。</w:t>
      </w:r>
    </w:p>
    <w:p w14:paraId="6EA26C96">
      <w:pPr>
        <w:snapToGrid w:val="0"/>
        <w:spacing w:line="288" w:lineRule="auto"/>
        <w:rPr>
          <w:color w:val="auto"/>
          <w:highlight w:val="none"/>
        </w:rPr>
      </w:pPr>
      <w:r>
        <w:rPr>
          <w:rFonts w:hint="eastAsia" w:ascii="宋体" w:hAnsi="宋体" w:cs="宋体"/>
          <w:b/>
          <w:color w:val="auto"/>
          <w:szCs w:val="21"/>
          <w:highlight w:val="none"/>
        </w:rPr>
        <w:t>九、交货期、交货方式及交货地点</w:t>
      </w:r>
    </w:p>
    <w:p w14:paraId="216B66D8">
      <w:pPr>
        <w:snapToGrid w:val="0"/>
        <w:spacing w:line="288" w:lineRule="auto"/>
        <w:ind w:left="0" w:right="0" w:firstLine="420"/>
        <w:rPr>
          <w:color w:val="auto"/>
          <w:highlight w:val="none"/>
        </w:rPr>
      </w:pPr>
      <w:r>
        <w:rPr>
          <w:rFonts w:hint="eastAsia" w:ascii="宋体" w:hAnsi="宋体" w:cs="宋体"/>
          <w:bCs/>
          <w:color w:val="auto"/>
          <w:szCs w:val="21"/>
          <w:highlight w:val="none"/>
        </w:rPr>
        <w:t>1.交货期：</w:t>
      </w:r>
    </w:p>
    <w:p w14:paraId="43A755B3">
      <w:pPr>
        <w:snapToGrid w:val="0"/>
        <w:spacing w:line="288" w:lineRule="auto"/>
        <w:ind w:left="0" w:right="0" w:firstLine="420"/>
        <w:rPr>
          <w:color w:val="auto"/>
          <w:highlight w:val="none"/>
        </w:rPr>
      </w:pPr>
      <w:r>
        <w:rPr>
          <w:rFonts w:hint="eastAsia" w:ascii="宋体" w:hAnsi="宋体" w:cs="宋体"/>
          <w:bCs/>
          <w:color w:val="auto"/>
          <w:szCs w:val="21"/>
          <w:highlight w:val="none"/>
        </w:rPr>
        <w:t>2.交货方式：</w:t>
      </w:r>
    </w:p>
    <w:p w14:paraId="34D316E0">
      <w:pPr>
        <w:snapToGrid w:val="0"/>
        <w:spacing w:line="288" w:lineRule="auto"/>
        <w:ind w:left="0" w:right="0" w:firstLine="420"/>
        <w:rPr>
          <w:color w:val="auto"/>
          <w:highlight w:val="none"/>
        </w:rPr>
      </w:pPr>
      <w:r>
        <w:rPr>
          <w:rFonts w:hint="eastAsia" w:ascii="宋体" w:hAnsi="宋体" w:cs="宋体"/>
          <w:bCs/>
          <w:color w:val="auto"/>
          <w:szCs w:val="21"/>
          <w:highlight w:val="none"/>
        </w:rPr>
        <w:t>3.交货地点：</w:t>
      </w:r>
    </w:p>
    <w:p w14:paraId="26F87092">
      <w:pPr>
        <w:snapToGrid w:val="0"/>
        <w:spacing w:line="288" w:lineRule="auto"/>
        <w:rPr>
          <w:color w:val="auto"/>
          <w:highlight w:val="none"/>
        </w:rPr>
      </w:pPr>
      <w:r>
        <w:rPr>
          <w:rFonts w:hint="eastAsia" w:ascii="宋体" w:hAnsi="宋体" w:cs="宋体"/>
          <w:b/>
          <w:color w:val="auto"/>
          <w:szCs w:val="21"/>
          <w:highlight w:val="none"/>
        </w:rPr>
        <w:t>十、货款支付</w:t>
      </w:r>
    </w:p>
    <w:p w14:paraId="02DCB7AC">
      <w:pPr>
        <w:snapToGrid w:val="0"/>
        <w:spacing w:line="288" w:lineRule="auto"/>
        <w:ind w:left="0" w:right="0" w:firstLine="420"/>
        <w:rPr>
          <w:color w:val="auto"/>
          <w:highlight w:val="none"/>
        </w:rPr>
      </w:pPr>
      <w:r>
        <w:rPr>
          <w:rFonts w:hint="eastAsia" w:ascii="宋体" w:hAnsi="宋体" w:cs="宋体"/>
          <w:bCs/>
          <w:color w:val="auto"/>
          <w:szCs w:val="21"/>
          <w:highlight w:val="none"/>
        </w:rPr>
        <w:t>1.付款方式：</w:t>
      </w:r>
    </w:p>
    <w:p w14:paraId="397A75BE">
      <w:pPr>
        <w:snapToGrid w:val="0"/>
        <w:spacing w:line="288" w:lineRule="auto"/>
        <w:rPr>
          <w:color w:val="auto"/>
          <w:highlight w:val="none"/>
        </w:rPr>
      </w:pPr>
      <w:r>
        <w:rPr>
          <w:rFonts w:hint="eastAsia" w:ascii="宋体" w:hAnsi="宋体" w:cs="宋体"/>
          <w:b/>
          <w:color w:val="auto"/>
          <w:szCs w:val="21"/>
          <w:highlight w:val="none"/>
        </w:rPr>
        <w:t>十一、税费</w:t>
      </w:r>
    </w:p>
    <w:p w14:paraId="18D3C492">
      <w:pPr>
        <w:snapToGrid w:val="0"/>
        <w:spacing w:line="288" w:lineRule="auto"/>
        <w:ind w:left="0" w:right="0" w:firstLine="420"/>
        <w:rPr>
          <w:color w:val="auto"/>
          <w:highlight w:val="none"/>
        </w:rPr>
      </w:pPr>
      <w:r>
        <w:rPr>
          <w:rFonts w:hint="eastAsia" w:ascii="宋体" w:hAnsi="宋体" w:cs="宋体"/>
          <w:color w:val="auto"/>
          <w:szCs w:val="21"/>
          <w:highlight w:val="none"/>
        </w:rPr>
        <w:t>本合同执行中相关的一切税费均由乙方负担。</w:t>
      </w:r>
    </w:p>
    <w:p w14:paraId="0410574B">
      <w:pPr>
        <w:snapToGrid w:val="0"/>
        <w:spacing w:line="288" w:lineRule="auto"/>
        <w:ind w:left="360" w:right="0" w:hanging="361"/>
        <w:rPr>
          <w:color w:val="auto"/>
          <w:highlight w:val="none"/>
        </w:rPr>
      </w:pPr>
      <w:r>
        <w:rPr>
          <w:rFonts w:hint="eastAsia" w:ascii="宋体" w:hAnsi="宋体" w:cs="宋体"/>
          <w:b/>
          <w:color w:val="auto"/>
          <w:szCs w:val="21"/>
          <w:highlight w:val="none"/>
        </w:rPr>
        <w:t>十二、质量保证及售后服务</w:t>
      </w:r>
    </w:p>
    <w:p w14:paraId="10BDB992">
      <w:pPr>
        <w:snapToGrid w:val="0"/>
        <w:spacing w:line="288" w:lineRule="auto"/>
        <w:rPr>
          <w:color w:val="auto"/>
          <w:highlight w:val="none"/>
        </w:rPr>
      </w:pPr>
      <w:r>
        <w:rPr>
          <w:rFonts w:hint="eastAsia" w:ascii="宋体" w:hAnsi="宋体" w:cs="宋体"/>
          <w:color w:val="auto"/>
          <w:szCs w:val="21"/>
          <w:highlight w:val="none"/>
        </w:rPr>
        <w:t>　　1.乙方应按采购文件规定的货物性能、技术要求、质量标准向甲方提供未经使用的全新产品。</w:t>
      </w:r>
    </w:p>
    <w:p w14:paraId="0372B46F">
      <w:pPr>
        <w:snapToGrid w:val="0"/>
        <w:spacing w:line="288" w:lineRule="auto"/>
        <w:ind w:left="0" w:right="0" w:firstLine="420"/>
        <w:rPr>
          <w:color w:val="auto"/>
          <w:highlight w:val="none"/>
        </w:rPr>
      </w:pPr>
      <w:r>
        <w:rPr>
          <w:rFonts w:hint="eastAsia" w:ascii="宋体" w:hAnsi="宋体" w:cs="宋体"/>
          <w:color w:val="auto"/>
          <w:szCs w:val="21"/>
          <w:highlight w:val="none"/>
        </w:rPr>
        <w:t>2.乙方提供的货物在保修期内因货物本身的质量问题发生故障，乙方应负责免费更换。对达不到技术要求者，根据实际情况，经双方协商，可按以下办法处理：</w:t>
      </w:r>
    </w:p>
    <w:p w14:paraId="2182D6DC">
      <w:pPr>
        <w:snapToGrid w:val="0"/>
        <w:spacing w:line="288" w:lineRule="auto"/>
        <w:ind w:left="0" w:right="0" w:firstLine="420"/>
        <w:rPr>
          <w:color w:val="auto"/>
          <w:highlight w:val="none"/>
        </w:rPr>
      </w:pPr>
      <w:r>
        <w:rPr>
          <w:rFonts w:hint="eastAsia" w:ascii="宋体" w:hAnsi="宋体" w:cs="宋体"/>
          <w:color w:val="auto"/>
          <w:szCs w:val="21"/>
          <w:highlight w:val="none"/>
        </w:rPr>
        <w:t>⑴更换：由乙方承担所发生的全部费用。</w:t>
      </w:r>
    </w:p>
    <w:p w14:paraId="65F7DF29">
      <w:pPr>
        <w:snapToGrid w:val="0"/>
        <w:spacing w:line="288" w:lineRule="auto"/>
        <w:ind w:left="0" w:right="0" w:firstLine="420"/>
        <w:rPr>
          <w:color w:val="auto"/>
          <w:highlight w:val="none"/>
        </w:rPr>
      </w:pPr>
      <w:r>
        <w:rPr>
          <w:rFonts w:hint="eastAsia" w:ascii="宋体" w:hAnsi="宋体" w:cs="宋体"/>
          <w:color w:val="auto"/>
          <w:szCs w:val="21"/>
          <w:highlight w:val="none"/>
        </w:rPr>
        <w:t>⑵贬值处理：由甲乙双方合议定价。</w:t>
      </w:r>
    </w:p>
    <w:p w14:paraId="17452956">
      <w:pPr>
        <w:snapToGrid w:val="0"/>
        <w:spacing w:line="288" w:lineRule="auto"/>
        <w:ind w:left="0" w:right="0" w:firstLine="420"/>
        <w:rPr>
          <w:color w:val="auto"/>
          <w:highlight w:val="none"/>
        </w:rPr>
      </w:pPr>
      <w:r>
        <w:rPr>
          <w:rFonts w:hint="eastAsia" w:ascii="宋体" w:hAnsi="宋体" w:cs="宋体"/>
          <w:color w:val="auto"/>
          <w:szCs w:val="21"/>
          <w:highlight w:val="none"/>
        </w:rPr>
        <w:t>⑶退货处理：乙方应退还甲方支付的合同款，同时应承担该货物的直接费用（运输、保险、检验、货款利息及银行手续费等）。</w:t>
      </w:r>
    </w:p>
    <w:p w14:paraId="7D9CF818">
      <w:pPr>
        <w:snapToGrid w:val="0"/>
        <w:spacing w:line="288" w:lineRule="auto"/>
        <w:ind w:left="0" w:right="0" w:firstLine="420"/>
        <w:rPr>
          <w:color w:val="auto"/>
          <w:highlight w:val="none"/>
        </w:rPr>
      </w:pPr>
      <w:r>
        <w:rPr>
          <w:rFonts w:hint="eastAsia" w:ascii="宋体" w:hAnsi="宋体" w:cs="宋体"/>
          <w:color w:val="auto"/>
          <w:szCs w:val="21"/>
          <w:highlight w:val="none"/>
        </w:rPr>
        <w:t>3.如在使用过程中发生质量问题，乙方在接到甲方通知后在△小时内到达甲方现场。</w:t>
      </w:r>
    </w:p>
    <w:p w14:paraId="77F3C5A8">
      <w:pPr>
        <w:snapToGrid w:val="0"/>
        <w:spacing w:line="288" w:lineRule="auto"/>
        <w:ind w:left="0" w:right="0" w:firstLine="420"/>
        <w:rPr>
          <w:color w:val="auto"/>
          <w:highlight w:val="none"/>
        </w:rPr>
      </w:pPr>
      <w:r>
        <w:rPr>
          <w:rFonts w:hint="eastAsia" w:ascii="宋体" w:hAnsi="宋体" w:cs="宋体"/>
          <w:color w:val="auto"/>
          <w:szCs w:val="21"/>
          <w:highlight w:val="none"/>
        </w:rPr>
        <w:t>4.在保修期内，乙方应对货物出现的质量及安全问题负责处理解决并承担一切费用。</w:t>
      </w:r>
    </w:p>
    <w:p w14:paraId="076D1AFD">
      <w:pPr>
        <w:snapToGrid w:val="0"/>
        <w:spacing w:line="288" w:lineRule="auto"/>
        <w:ind w:left="0" w:right="0" w:firstLine="420"/>
        <w:rPr>
          <w:color w:val="auto"/>
          <w:highlight w:val="none"/>
        </w:rPr>
      </w:pPr>
      <w:r>
        <w:rPr>
          <w:rFonts w:hint="eastAsia" w:ascii="宋体" w:hAnsi="宋体" w:cs="宋体"/>
          <w:color w:val="auto"/>
          <w:szCs w:val="21"/>
          <w:highlight w:val="none"/>
        </w:rPr>
        <w:t>5.上述的货物免费保修期为年，因人为因素出现的故障不在免费保修范围内。超过保修期的机器设备，终生维修，维修时只收部件成本费。</w:t>
      </w:r>
    </w:p>
    <w:p w14:paraId="735D39DE">
      <w:pPr>
        <w:snapToGrid w:val="0"/>
        <w:spacing w:line="288" w:lineRule="auto"/>
        <w:rPr>
          <w:color w:val="auto"/>
          <w:highlight w:val="none"/>
        </w:rPr>
      </w:pPr>
      <w:r>
        <w:rPr>
          <w:rFonts w:hint="eastAsia" w:ascii="宋体" w:hAnsi="宋体" w:cs="宋体"/>
          <w:b/>
          <w:color w:val="auto"/>
          <w:szCs w:val="21"/>
          <w:highlight w:val="none"/>
        </w:rPr>
        <w:t>十三、调试和验收</w:t>
      </w:r>
    </w:p>
    <w:p w14:paraId="6C18BEC2">
      <w:pPr>
        <w:snapToGrid w:val="0"/>
        <w:spacing w:line="288" w:lineRule="auto"/>
        <w:ind w:left="0" w:right="0" w:firstLine="420"/>
        <w:jc w:val="left"/>
        <w:rPr>
          <w:color w:val="auto"/>
          <w:highlight w:val="none"/>
        </w:rPr>
      </w:pPr>
      <w:r>
        <w:rPr>
          <w:rFonts w:hint="eastAsia" w:ascii="宋体" w:hAnsi="宋体" w:cs="宋体"/>
          <w:color w:val="auto"/>
          <w:szCs w:val="21"/>
          <w:highlight w:val="none"/>
        </w:rPr>
        <w:t>1.甲方对乙方提交的货物依据采购文件上的技术规格要求和国家有关质量标准进行现场初步验收，外观、说明书符合采购文件技术要求的，给予签收，初步验收不合格的不予签收。货到后，甲方需在五个工作日内验收。</w:t>
      </w:r>
    </w:p>
    <w:p w14:paraId="6F4AE035">
      <w:pPr>
        <w:snapToGrid w:val="0"/>
        <w:spacing w:line="288" w:lineRule="auto"/>
        <w:ind w:left="0" w:right="0" w:firstLine="420"/>
        <w:rPr>
          <w:color w:val="auto"/>
          <w:highlight w:val="none"/>
        </w:rPr>
      </w:pPr>
      <w:r>
        <w:rPr>
          <w:rFonts w:hint="eastAsia" w:ascii="宋体" w:hAnsi="宋体" w:cs="宋体"/>
          <w:color w:val="auto"/>
          <w:szCs w:val="21"/>
          <w:highlight w:val="none"/>
        </w:rPr>
        <w:t>2.乙方交货前应对产品作出全面检查和对验收文件进行整理，并列出清单，作为甲方收货验收和使用的技术条件依据，检验的结果应随货物交甲方。</w:t>
      </w:r>
    </w:p>
    <w:p w14:paraId="21F145C9">
      <w:pPr>
        <w:snapToGrid w:val="0"/>
        <w:spacing w:line="288" w:lineRule="auto"/>
        <w:ind w:left="0" w:right="0" w:firstLine="420"/>
        <w:rPr>
          <w:color w:val="auto"/>
          <w:highlight w:val="none"/>
        </w:rPr>
      </w:pPr>
      <w:r>
        <w:rPr>
          <w:rFonts w:hint="eastAsia" w:ascii="宋体" w:hAnsi="宋体" w:cs="宋体"/>
          <w:color w:val="auto"/>
          <w:szCs w:val="21"/>
          <w:highlight w:val="none"/>
        </w:rPr>
        <w:t>3.甲方对乙方提供的货物在使用前进行调试时，乙方需负责安装并培训甲方的使用操作人员，并协助甲方一起调试，直到符合技术要求，甲方才做最终验收。</w:t>
      </w:r>
    </w:p>
    <w:p w14:paraId="3448C6B8">
      <w:pPr>
        <w:snapToGrid w:val="0"/>
        <w:spacing w:line="288" w:lineRule="auto"/>
        <w:ind w:left="0" w:right="0" w:firstLine="420"/>
        <w:rPr>
          <w:color w:val="auto"/>
          <w:highlight w:val="none"/>
        </w:rPr>
      </w:pPr>
      <w:r>
        <w:rPr>
          <w:rFonts w:hint="eastAsia" w:ascii="宋体" w:hAnsi="宋体" w:cs="宋体"/>
          <w:color w:val="auto"/>
          <w:szCs w:val="21"/>
          <w:highlight w:val="none"/>
        </w:rPr>
        <w:t>4.对技术复杂的货物，甲方应请国家认可的专业检测机构参与初步验收及最终验收，并由其出具质量检测报告。</w:t>
      </w:r>
    </w:p>
    <w:p w14:paraId="4407444F">
      <w:pPr>
        <w:snapToGrid w:val="0"/>
        <w:spacing w:line="288" w:lineRule="auto"/>
        <w:ind w:left="0" w:right="0" w:firstLine="420"/>
        <w:rPr>
          <w:color w:val="auto"/>
          <w:highlight w:val="none"/>
        </w:rPr>
      </w:pPr>
      <w:r>
        <w:rPr>
          <w:rFonts w:hint="eastAsia" w:ascii="宋体" w:hAnsi="宋体" w:cs="宋体"/>
          <w:color w:val="auto"/>
          <w:szCs w:val="21"/>
          <w:highlight w:val="none"/>
        </w:rPr>
        <w:t>5.验收时乙方必须在现场，验收完毕后作出验收结果报告验收费用由乙方负责。</w:t>
      </w:r>
    </w:p>
    <w:p w14:paraId="1E5072CC">
      <w:pPr>
        <w:snapToGrid w:val="0"/>
        <w:spacing w:line="288" w:lineRule="auto"/>
        <w:rPr>
          <w:color w:val="auto"/>
          <w:highlight w:val="none"/>
        </w:rPr>
      </w:pPr>
      <w:r>
        <w:rPr>
          <w:rFonts w:hint="eastAsia" w:ascii="宋体" w:hAnsi="宋体" w:cs="宋体"/>
          <w:b/>
          <w:color w:val="auto"/>
          <w:szCs w:val="21"/>
          <w:highlight w:val="none"/>
        </w:rPr>
        <w:t>十四、货物包装、发运及运输</w:t>
      </w:r>
    </w:p>
    <w:p w14:paraId="444B2B01">
      <w:pPr>
        <w:snapToGrid w:val="0"/>
        <w:spacing w:line="288" w:lineRule="auto"/>
        <w:ind w:left="0" w:right="0" w:firstLine="420"/>
        <w:rPr>
          <w:color w:val="auto"/>
          <w:highlight w:val="none"/>
        </w:rPr>
      </w:pPr>
      <w:r>
        <w:rPr>
          <w:rFonts w:hint="eastAsia" w:ascii="宋体" w:hAnsi="宋体" w:cs="宋体"/>
          <w:color w:val="auto"/>
          <w:szCs w:val="21"/>
          <w:highlight w:val="none"/>
        </w:rPr>
        <w:t>1.乙方应在货物发运前对其进行满足运输距离、防潮、防震、防锈和防破损装卸等要求包装，以保证货物安全运达甲方指定地点。</w:t>
      </w:r>
    </w:p>
    <w:p w14:paraId="44984E95">
      <w:pPr>
        <w:snapToGrid w:val="0"/>
        <w:spacing w:line="288" w:lineRule="auto"/>
        <w:ind w:left="420" w:right="0" w:firstLine="0"/>
        <w:rPr>
          <w:color w:val="auto"/>
          <w:highlight w:val="none"/>
        </w:rPr>
      </w:pPr>
      <w:r>
        <w:rPr>
          <w:rFonts w:hint="eastAsia" w:ascii="宋体" w:hAnsi="宋体" w:cs="宋体"/>
          <w:color w:val="auto"/>
          <w:szCs w:val="21"/>
          <w:highlight w:val="none"/>
        </w:rPr>
        <w:t>2.使用说明书、质量检验证明书、随配附件和工具以及清单一并附于货物内。</w:t>
      </w:r>
    </w:p>
    <w:p w14:paraId="46EE29DB">
      <w:pPr>
        <w:snapToGrid w:val="0"/>
        <w:spacing w:line="288" w:lineRule="auto"/>
        <w:ind w:left="420" w:right="0" w:firstLine="0"/>
        <w:rPr>
          <w:color w:val="auto"/>
          <w:highlight w:val="none"/>
        </w:rPr>
      </w:pPr>
      <w:r>
        <w:rPr>
          <w:rFonts w:hint="eastAsia" w:ascii="宋体" w:hAnsi="宋体" w:cs="宋体"/>
          <w:color w:val="auto"/>
          <w:szCs w:val="21"/>
          <w:highlight w:val="none"/>
        </w:rPr>
        <w:t>3.乙方在货物发运手续办理完毕后24小时内或货到甲方48小时前通知甲方，以准备接货。</w:t>
      </w:r>
    </w:p>
    <w:p w14:paraId="5C840307">
      <w:pPr>
        <w:snapToGrid w:val="0"/>
        <w:spacing w:line="288" w:lineRule="auto"/>
        <w:ind w:left="420" w:right="0" w:firstLine="0"/>
        <w:rPr>
          <w:color w:val="auto"/>
          <w:highlight w:val="none"/>
        </w:rPr>
      </w:pPr>
      <w:r>
        <w:rPr>
          <w:rFonts w:hint="eastAsia" w:ascii="宋体" w:hAnsi="宋体" w:cs="宋体"/>
          <w:color w:val="auto"/>
          <w:szCs w:val="21"/>
          <w:highlight w:val="none"/>
        </w:rPr>
        <w:t>4.货物在交付甲方前发生的风险均由乙方负责。</w:t>
      </w:r>
    </w:p>
    <w:p w14:paraId="0438B236">
      <w:pPr>
        <w:snapToGrid w:val="0"/>
        <w:spacing w:line="288" w:lineRule="auto"/>
        <w:ind w:left="0" w:right="26" w:firstLine="420"/>
        <w:rPr>
          <w:color w:val="auto"/>
          <w:highlight w:val="none"/>
        </w:rPr>
      </w:pPr>
      <w:r>
        <w:rPr>
          <w:rFonts w:hint="eastAsia" w:ascii="宋体" w:hAnsi="宋体" w:cs="宋体"/>
          <w:color w:val="auto"/>
          <w:szCs w:val="21"/>
          <w:highlight w:val="none"/>
        </w:rPr>
        <w:t>5.货物在规定的交付期限内由乙方送达甲方指定的地点视为交付，乙方同时需通知甲方货物已送达。</w:t>
      </w:r>
    </w:p>
    <w:p w14:paraId="189F6182">
      <w:pPr>
        <w:snapToGrid w:val="0"/>
        <w:spacing w:line="288" w:lineRule="auto"/>
        <w:rPr>
          <w:color w:val="auto"/>
          <w:highlight w:val="none"/>
        </w:rPr>
      </w:pPr>
      <w:r>
        <w:rPr>
          <w:rFonts w:hint="eastAsia" w:ascii="宋体" w:hAnsi="宋体" w:cs="宋体"/>
          <w:b/>
          <w:color w:val="auto"/>
          <w:szCs w:val="21"/>
          <w:highlight w:val="none"/>
        </w:rPr>
        <w:t>十五、违约责任</w:t>
      </w:r>
    </w:p>
    <w:p w14:paraId="3401929B">
      <w:pPr>
        <w:snapToGrid w:val="0"/>
        <w:spacing w:line="288" w:lineRule="auto"/>
        <w:ind w:left="0" w:right="0" w:firstLine="420"/>
        <w:rPr>
          <w:color w:val="auto"/>
          <w:highlight w:val="none"/>
        </w:rPr>
      </w:pPr>
      <w:r>
        <w:rPr>
          <w:rFonts w:hint="eastAsia" w:ascii="宋体" w:hAnsi="宋体" w:cs="宋体"/>
          <w:color w:val="auto"/>
          <w:szCs w:val="21"/>
          <w:highlight w:val="none"/>
        </w:rPr>
        <w:t>1.甲方无正当理由拒收货物的，甲方向乙方偿付拒收货款总值的百分之三违约金。</w:t>
      </w:r>
    </w:p>
    <w:p w14:paraId="7C211988">
      <w:pPr>
        <w:snapToGrid w:val="0"/>
        <w:spacing w:line="288" w:lineRule="auto"/>
        <w:ind w:left="0" w:right="0" w:firstLine="420"/>
        <w:rPr>
          <w:color w:val="auto"/>
          <w:highlight w:val="none"/>
        </w:rPr>
      </w:pPr>
      <w:r>
        <w:rPr>
          <w:rFonts w:hint="eastAsia" w:ascii="宋体" w:hAnsi="宋体" w:cs="宋体"/>
          <w:color w:val="auto"/>
          <w:szCs w:val="21"/>
          <w:highlight w:val="none"/>
        </w:rPr>
        <w:t>2.乙方逾期交付货物的，乙方应按逾期交货总额每日千分之三向甲方支付违约金，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14:paraId="504CF709">
      <w:pPr>
        <w:snapToGrid w:val="0"/>
        <w:spacing w:line="288" w:lineRule="auto"/>
        <w:ind w:left="0" w:right="0" w:firstLine="420"/>
        <w:rPr>
          <w:color w:val="auto"/>
          <w:highlight w:val="none"/>
        </w:rPr>
      </w:pPr>
      <w:r>
        <w:rPr>
          <w:rFonts w:hint="eastAsia" w:ascii="宋体" w:hAnsi="宋体" w:cs="宋体"/>
          <w:color w:val="auto"/>
          <w:szCs w:val="21"/>
          <w:highlight w:val="none"/>
        </w:rPr>
        <w:t>4.乙方所交的货物品种、型号、规格、技术参数、质量不符合合同规定及采购文件规定标准的，甲方有权拒收该货物，乙方愿意更换货物但逾期交货的，按乙方逾期交货处理。乙方拒绝更换货物的，甲方可单方面解除合同。</w:t>
      </w:r>
    </w:p>
    <w:p w14:paraId="25A57147">
      <w:pPr>
        <w:snapToGrid w:val="0"/>
        <w:spacing w:line="288" w:lineRule="auto"/>
        <w:rPr>
          <w:color w:val="auto"/>
          <w:highlight w:val="none"/>
        </w:rPr>
      </w:pPr>
      <w:r>
        <w:rPr>
          <w:rFonts w:hint="eastAsia" w:ascii="宋体" w:hAnsi="宋体" w:cs="宋体"/>
          <w:b/>
          <w:color w:val="auto"/>
          <w:szCs w:val="21"/>
          <w:highlight w:val="none"/>
        </w:rPr>
        <w:t>十六、不可抗力事件处理</w:t>
      </w:r>
    </w:p>
    <w:p w14:paraId="2310A0E2">
      <w:pPr>
        <w:snapToGrid w:val="0"/>
        <w:spacing w:line="288" w:lineRule="auto"/>
        <w:ind w:left="0" w:right="0" w:firstLine="420"/>
        <w:rPr>
          <w:color w:val="auto"/>
          <w:highlight w:val="none"/>
        </w:rPr>
      </w:pPr>
      <w:r>
        <w:rPr>
          <w:rFonts w:hint="eastAsia" w:ascii="宋体" w:hAnsi="宋体" w:cs="宋体"/>
          <w:color w:val="auto"/>
          <w:szCs w:val="21"/>
          <w:highlight w:val="none"/>
        </w:rPr>
        <w:t>1.在合同有效期内，任何一方因不可抗力事件导致不能履行合同，则合同履行期可延长，其延长期与不可抗力影响期相同。</w:t>
      </w:r>
    </w:p>
    <w:p w14:paraId="13B18183">
      <w:pPr>
        <w:snapToGrid w:val="0"/>
        <w:spacing w:line="288" w:lineRule="auto"/>
        <w:ind w:left="0" w:right="0" w:firstLine="420"/>
        <w:rPr>
          <w:color w:val="auto"/>
          <w:highlight w:val="none"/>
        </w:rPr>
      </w:pPr>
      <w:r>
        <w:rPr>
          <w:rFonts w:hint="eastAsia" w:ascii="宋体" w:hAnsi="宋体" w:cs="宋体"/>
          <w:color w:val="auto"/>
          <w:szCs w:val="21"/>
          <w:highlight w:val="none"/>
        </w:rPr>
        <w:t>2.不可抗力事件发生后，应立即通知对方，并寄送有关权威机构出具的证明。</w:t>
      </w:r>
    </w:p>
    <w:p w14:paraId="195875F9">
      <w:pPr>
        <w:snapToGrid w:val="0"/>
        <w:spacing w:line="288" w:lineRule="auto"/>
        <w:ind w:left="0" w:right="0" w:firstLine="420"/>
        <w:rPr>
          <w:color w:val="auto"/>
          <w:highlight w:val="none"/>
        </w:rPr>
      </w:pPr>
      <w:r>
        <w:rPr>
          <w:rFonts w:hint="eastAsia" w:ascii="宋体" w:hAnsi="宋体" w:cs="宋体"/>
          <w:color w:val="auto"/>
          <w:szCs w:val="21"/>
          <w:highlight w:val="none"/>
        </w:rPr>
        <w:t>3.不可抗力事件延续120日以上，双方应通过友好协商，确定是否继续履行合同。</w:t>
      </w:r>
    </w:p>
    <w:p w14:paraId="186B5FE5">
      <w:pPr>
        <w:snapToGrid w:val="0"/>
        <w:spacing w:line="288" w:lineRule="auto"/>
        <w:rPr>
          <w:color w:val="auto"/>
          <w:highlight w:val="none"/>
        </w:rPr>
      </w:pPr>
      <w:r>
        <w:rPr>
          <w:rFonts w:hint="eastAsia" w:ascii="宋体" w:hAnsi="宋体" w:cs="宋体"/>
          <w:b/>
          <w:color w:val="auto"/>
          <w:szCs w:val="21"/>
          <w:highlight w:val="none"/>
        </w:rPr>
        <w:t>十七、诉讼</w:t>
      </w:r>
    </w:p>
    <w:p w14:paraId="229B19D1">
      <w:pPr>
        <w:snapToGrid w:val="0"/>
        <w:spacing w:line="288" w:lineRule="auto"/>
        <w:ind w:left="420" w:right="0" w:firstLine="0"/>
        <w:rPr>
          <w:color w:val="auto"/>
          <w:highlight w:val="none"/>
        </w:rPr>
      </w:pPr>
      <w:r>
        <w:rPr>
          <w:rFonts w:hint="eastAsia" w:ascii="宋体" w:hAnsi="宋体" w:cs="宋体"/>
          <w:color w:val="auto"/>
          <w:szCs w:val="21"/>
          <w:highlight w:val="none"/>
        </w:rPr>
        <w:t>双方在执行合同中所发生的一切争议，应通过协商解决。如协商不成，可向甲方所在地法院起诉。</w:t>
      </w:r>
    </w:p>
    <w:p w14:paraId="5DC683D7">
      <w:pPr>
        <w:snapToGrid w:val="0"/>
        <w:spacing w:line="288" w:lineRule="auto"/>
        <w:rPr>
          <w:color w:val="auto"/>
          <w:highlight w:val="none"/>
        </w:rPr>
      </w:pPr>
      <w:r>
        <w:rPr>
          <w:rFonts w:hint="eastAsia" w:ascii="宋体" w:hAnsi="宋体" w:cs="宋体"/>
          <w:b/>
          <w:color w:val="auto"/>
          <w:szCs w:val="21"/>
          <w:highlight w:val="none"/>
        </w:rPr>
        <w:t>十八、合同生效及其它</w:t>
      </w:r>
    </w:p>
    <w:p w14:paraId="74D9AE36">
      <w:pPr>
        <w:snapToGrid w:val="0"/>
        <w:spacing w:line="288" w:lineRule="auto"/>
        <w:ind w:left="0" w:right="0" w:firstLine="420"/>
        <w:rPr>
          <w:color w:val="auto"/>
          <w:highlight w:val="none"/>
        </w:rPr>
      </w:pPr>
      <w:r>
        <w:rPr>
          <w:rFonts w:hint="eastAsia" w:ascii="宋体" w:hAnsi="宋体" w:cs="宋体"/>
          <w:color w:val="auto"/>
          <w:szCs w:val="21"/>
          <w:highlight w:val="none"/>
        </w:rPr>
        <w:t>1.合同经双方法定代表人或授权代表签字并加盖单位公章后生效。</w:t>
      </w:r>
    </w:p>
    <w:p w14:paraId="14DF1DEA">
      <w:pPr>
        <w:snapToGrid w:val="0"/>
        <w:spacing w:line="288" w:lineRule="auto"/>
        <w:ind w:left="0" w:right="0" w:firstLine="420"/>
        <w:rPr>
          <w:color w:val="auto"/>
          <w:highlight w:val="none"/>
        </w:rPr>
      </w:pPr>
      <w:r>
        <w:rPr>
          <w:rFonts w:hint="eastAsia" w:ascii="宋体" w:hAnsi="宋体" w:cs="宋体"/>
          <w:color w:val="auto"/>
          <w:szCs w:val="21"/>
          <w:highlight w:val="none"/>
        </w:rPr>
        <w:t>2.合同执行中涉及采购资金和采购内容修改或补充的，须经有关部门审批，并签书面补充协议报采购监督管理部门备案，方可作为主合同不可分割的一部分。</w:t>
      </w:r>
    </w:p>
    <w:p w14:paraId="2E489644">
      <w:pPr>
        <w:snapToGrid w:val="0"/>
        <w:spacing w:line="288" w:lineRule="auto"/>
        <w:ind w:left="420" w:right="0" w:firstLine="0"/>
        <w:rPr>
          <w:color w:val="auto"/>
          <w:highlight w:val="none"/>
        </w:rPr>
      </w:pPr>
      <w:r>
        <w:rPr>
          <w:rFonts w:hint="eastAsia" w:ascii="宋体" w:hAnsi="宋体" w:cs="宋体"/>
          <w:color w:val="auto"/>
          <w:szCs w:val="21"/>
          <w:highlight w:val="none"/>
        </w:rPr>
        <w:t>3.本合同未尽事宜，遵照</w:t>
      </w:r>
      <w:r>
        <w:rPr>
          <w:rFonts w:hint="eastAsia" w:ascii="宋体" w:hAnsi="宋体" w:cs="宋体"/>
          <w:color w:val="auto"/>
          <w:highlight w:val="none"/>
        </w:rPr>
        <w:t>《中华人民共和国民法典》</w:t>
      </w:r>
      <w:r>
        <w:rPr>
          <w:rFonts w:hint="eastAsia" w:ascii="宋体" w:hAnsi="宋体" w:cs="宋体"/>
          <w:color w:val="auto"/>
          <w:szCs w:val="21"/>
          <w:highlight w:val="none"/>
        </w:rPr>
        <w:t>有关条文执行。</w:t>
      </w:r>
    </w:p>
    <w:p w14:paraId="4A919C70">
      <w:pPr>
        <w:snapToGrid w:val="0"/>
        <w:spacing w:line="288" w:lineRule="auto"/>
        <w:ind w:left="420" w:right="0" w:firstLine="0"/>
        <w:rPr>
          <w:color w:val="auto"/>
          <w:highlight w:val="none"/>
        </w:rPr>
      </w:pPr>
      <w:r>
        <w:rPr>
          <w:rFonts w:hint="eastAsia" w:ascii="宋体" w:hAnsi="宋体" w:cs="宋体"/>
          <w:color w:val="auto"/>
          <w:szCs w:val="21"/>
          <w:highlight w:val="none"/>
        </w:rPr>
        <w:t>4.合同原件应一式陆份，甲方3份，乙方</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份。</w:t>
      </w:r>
    </w:p>
    <w:p w14:paraId="088338E2">
      <w:pPr>
        <w:rPr>
          <w:rFonts w:hint="eastAsia" w:ascii="宋体" w:hAnsi="宋体" w:cs="宋体"/>
          <w:color w:val="auto"/>
          <w:szCs w:val="21"/>
          <w:highlight w:val="none"/>
        </w:rPr>
      </w:pPr>
    </w:p>
    <w:p w14:paraId="2724E7CC">
      <w:pPr>
        <w:snapToGrid w:val="0"/>
        <w:spacing w:line="360" w:lineRule="auto"/>
        <w:ind w:left="420" w:right="0" w:hanging="420"/>
        <w:rPr>
          <w:color w:val="auto"/>
          <w:highlight w:val="none"/>
        </w:rPr>
      </w:pPr>
      <w:r>
        <w:rPr>
          <w:rFonts w:hint="eastAsia" w:ascii="宋体" w:hAnsi="宋体" w:cs="宋体"/>
          <w:color w:val="auto"/>
          <w:szCs w:val="21"/>
          <w:highlight w:val="none"/>
        </w:rPr>
        <w:t>甲方：                            乙方：</w:t>
      </w:r>
    </w:p>
    <w:p w14:paraId="71CD5B63">
      <w:pPr>
        <w:snapToGrid w:val="0"/>
        <w:spacing w:line="360" w:lineRule="auto"/>
        <w:rPr>
          <w:color w:val="auto"/>
          <w:highlight w:val="none"/>
        </w:rPr>
      </w:pPr>
      <w:r>
        <w:rPr>
          <w:rFonts w:hint="eastAsia" w:ascii="宋体" w:hAnsi="宋体" w:cs="宋体"/>
          <w:color w:val="auto"/>
          <w:szCs w:val="21"/>
          <w:highlight w:val="none"/>
        </w:rPr>
        <w:t>地址：                            地址：</w:t>
      </w:r>
    </w:p>
    <w:p w14:paraId="3298CC96">
      <w:pPr>
        <w:snapToGrid w:val="0"/>
        <w:spacing w:line="360" w:lineRule="auto"/>
        <w:rPr>
          <w:color w:val="auto"/>
          <w:highlight w:val="none"/>
        </w:rPr>
      </w:pPr>
      <w:r>
        <w:rPr>
          <w:rFonts w:hint="eastAsia" w:ascii="宋体" w:hAnsi="宋体" w:cs="宋体"/>
          <w:color w:val="auto"/>
          <w:szCs w:val="21"/>
          <w:highlight w:val="none"/>
        </w:rPr>
        <w:t>法定（授权）代表人：              法定（授权）代表人：</w:t>
      </w:r>
    </w:p>
    <w:p w14:paraId="505D252C">
      <w:pPr>
        <w:snapToGrid w:val="0"/>
        <w:spacing w:line="360" w:lineRule="auto"/>
        <w:rPr>
          <w:color w:val="auto"/>
          <w:highlight w:val="none"/>
        </w:rPr>
      </w:pPr>
      <w:r>
        <w:rPr>
          <w:rFonts w:hint="eastAsia" w:ascii="宋体" w:hAnsi="宋体" w:cs="宋体"/>
          <w:color w:val="auto"/>
          <w:szCs w:val="21"/>
          <w:highlight w:val="none"/>
        </w:rPr>
        <w:t>签字日期：  年  月  日            签字日期：  年  月  日</w:t>
      </w:r>
    </w:p>
    <w:p w14:paraId="7B96CAB2">
      <w:pPr>
        <w:snapToGrid w:val="0"/>
        <w:spacing w:before="120" w:beforeLines="50" w:after="120" w:afterLines="50" w:line="360" w:lineRule="auto"/>
        <w:ind w:firstLine="482"/>
        <w:jc w:val="center"/>
        <w:rPr>
          <w:rFonts w:hint="eastAsia" w:ascii="宋体" w:hAnsi="宋体"/>
          <w:b/>
          <w:bCs/>
          <w:color w:val="auto"/>
          <w:highlight w:val="none"/>
        </w:rPr>
      </w:pPr>
    </w:p>
    <w:bookmarkEnd w:id="7"/>
    <w:p w14:paraId="6ED4783D">
      <w:pPr>
        <w:rPr>
          <w:rFonts w:hint="eastAsia" w:ascii="宋体" w:hAnsi="宋体"/>
          <w:b/>
          <w:bCs/>
          <w:color w:val="auto"/>
          <w:sz w:val="30"/>
          <w:szCs w:val="30"/>
          <w:highlight w:val="none"/>
        </w:rPr>
      </w:pPr>
      <w:bookmarkStart w:id="8" w:name="_Toc30031"/>
      <w:r>
        <w:rPr>
          <w:rFonts w:hint="eastAsia" w:ascii="宋体" w:hAnsi="宋体"/>
          <w:b/>
          <w:bCs/>
          <w:color w:val="auto"/>
          <w:sz w:val="30"/>
          <w:szCs w:val="30"/>
          <w:highlight w:val="none"/>
        </w:rPr>
        <w:br w:type="page"/>
      </w:r>
    </w:p>
    <w:p w14:paraId="5737C344">
      <w:pPr>
        <w:numPr>
          <w:ilvl w:val="0"/>
          <w:numId w:val="0"/>
        </w:numPr>
        <w:tabs>
          <w:tab w:val="left" w:pos="2472"/>
        </w:tabs>
        <w:snapToGrid w:val="0"/>
        <w:jc w:val="center"/>
        <w:outlineLvl w:val="0"/>
        <w:rPr>
          <w:rFonts w:hint="eastAsia" w:ascii="宋体" w:hAnsi="宋体"/>
          <w:b/>
          <w:bCs/>
          <w:color w:val="auto"/>
          <w:sz w:val="30"/>
          <w:szCs w:val="30"/>
          <w:highlight w:val="none"/>
        </w:rPr>
      </w:pPr>
      <w:r>
        <w:rPr>
          <w:rFonts w:hint="eastAsia" w:ascii="宋体" w:hAnsi="宋体"/>
          <w:b/>
          <w:bCs/>
          <w:color w:val="auto"/>
          <w:sz w:val="30"/>
          <w:szCs w:val="30"/>
          <w:highlight w:val="none"/>
          <w:lang w:val="en-US" w:eastAsia="zh-CN"/>
        </w:rPr>
        <w:t xml:space="preserve">第六章 </w:t>
      </w:r>
      <w:r>
        <w:rPr>
          <w:rFonts w:hint="eastAsia" w:ascii="宋体" w:hAnsi="宋体"/>
          <w:b/>
          <w:bCs/>
          <w:color w:val="auto"/>
          <w:sz w:val="30"/>
          <w:szCs w:val="30"/>
          <w:highlight w:val="none"/>
        </w:rPr>
        <w:t>投标文件格式</w:t>
      </w:r>
      <w:bookmarkEnd w:id="8"/>
    </w:p>
    <w:p w14:paraId="225F2D46">
      <w:pPr>
        <w:snapToGrid w:val="0"/>
        <w:spacing w:before="120" w:beforeLines="50" w:after="50"/>
        <w:rPr>
          <w:rFonts w:hint="eastAsia" w:ascii="宋体" w:hAnsi="宋体"/>
          <w:color w:val="auto"/>
          <w:sz w:val="24"/>
          <w:szCs w:val="20"/>
          <w:highlight w:val="none"/>
        </w:rPr>
      </w:pPr>
      <w:r>
        <w:rPr>
          <w:rFonts w:hint="eastAsia" w:ascii="宋体" w:hAnsi="宋体"/>
          <w:b/>
          <w:bCs/>
          <w:color w:val="auto"/>
          <w:kern w:val="44"/>
          <w:szCs w:val="21"/>
          <w:highlight w:val="none"/>
        </w:rPr>
        <w:t>本章节内容提供部分投标文件格式，招标文件中要求，但未提供格式的，须由投标人根据招标文件的要求自行制作</w:t>
      </w:r>
    </w:p>
    <w:p w14:paraId="2446BDE7">
      <w:pPr>
        <w:tabs>
          <w:tab w:val="left" w:pos="540"/>
        </w:tabs>
        <w:rPr>
          <w:rFonts w:hint="eastAsia" w:ascii="宋体" w:hAnsi="宋体"/>
          <w:b/>
          <w:color w:val="auto"/>
          <w:sz w:val="30"/>
          <w:szCs w:val="30"/>
          <w:highlight w:val="none"/>
        </w:rPr>
      </w:pPr>
    </w:p>
    <w:p w14:paraId="326ABD1F">
      <w:pPr>
        <w:tabs>
          <w:tab w:val="left" w:pos="540"/>
        </w:tabs>
        <w:rPr>
          <w:rFonts w:hint="eastAsia" w:ascii="宋体" w:hAnsi="宋体"/>
          <w:b/>
          <w:color w:val="auto"/>
          <w:sz w:val="30"/>
          <w:szCs w:val="30"/>
          <w:highlight w:val="none"/>
        </w:rPr>
      </w:pPr>
      <w:r>
        <w:rPr>
          <w:rFonts w:hint="eastAsia" w:ascii="宋体" w:hAnsi="宋体"/>
          <w:b/>
          <w:color w:val="auto"/>
          <w:sz w:val="30"/>
          <w:szCs w:val="30"/>
          <w:highlight w:val="none"/>
        </w:rPr>
        <w:t>附件：</w:t>
      </w:r>
    </w:p>
    <w:p w14:paraId="24543FFD">
      <w:pPr>
        <w:tabs>
          <w:tab w:val="left" w:pos="540"/>
        </w:tabs>
        <w:rPr>
          <w:rFonts w:hint="eastAsia" w:ascii="宋体" w:hAnsi="宋体"/>
          <w:b/>
          <w:color w:val="auto"/>
          <w:sz w:val="30"/>
          <w:szCs w:val="30"/>
          <w:highlight w:val="none"/>
        </w:rPr>
      </w:pPr>
    </w:p>
    <w:p w14:paraId="2F6680B7">
      <w:pPr>
        <w:widowControl/>
        <w:spacing w:line="360" w:lineRule="auto"/>
        <w:jc w:val="center"/>
        <w:rPr>
          <w:rFonts w:hint="eastAsia" w:ascii="宋体" w:hAnsi="宋体"/>
          <w:color w:val="auto"/>
          <w:sz w:val="36"/>
          <w:szCs w:val="36"/>
          <w:highlight w:val="none"/>
        </w:rPr>
      </w:pPr>
      <w:r>
        <w:rPr>
          <w:rFonts w:hint="eastAsia" w:ascii="宋体" w:hAnsi="宋体" w:cs="宋体"/>
          <w:b/>
          <w:color w:val="auto"/>
          <w:kern w:val="0"/>
          <w:sz w:val="36"/>
          <w:szCs w:val="36"/>
          <w:highlight w:val="none"/>
        </w:rPr>
        <w:t>承诺函</w:t>
      </w:r>
    </w:p>
    <w:p w14:paraId="7EC0F54B">
      <w:pPr>
        <w:widowControl/>
        <w:spacing w:line="360" w:lineRule="auto"/>
        <w:jc w:val="left"/>
        <w:rPr>
          <w:rFonts w:hint="eastAsia" w:ascii="宋体" w:hAnsi="宋体" w:cs="宋体"/>
          <w:color w:val="auto"/>
          <w:sz w:val="28"/>
          <w:szCs w:val="28"/>
          <w:highlight w:val="none"/>
        </w:rPr>
      </w:pPr>
      <w:r>
        <w:rPr>
          <w:rFonts w:hint="eastAsia" w:ascii="宋体" w:hAnsi="宋体" w:cs="宋体"/>
          <w:color w:val="auto"/>
          <w:kern w:val="0"/>
          <w:sz w:val="28"/>
          <w:szCs w:val="28"/>
          <w:highlight w:val="none"/>
          <w:u w:val="single"/>
        </w:rPr>
        <w:t>致            （采购人、采购代理机构）</w:t>
      </w:r>
      <w:r>
        <w:rPr>
          <w:rFonts w:hint="eastAsia" w:ascii="宋体" w:hAnsi="宋体" w:cs="宋体"/>
          <w:color w:val="auto"/>
          <w:kern w:val="0"/>
          <w:sz w:val="28"/>
          <w:szCs w:val="28"/>
          <w:highlight w:val="none"/>
        </w:rPr>
        <w:t xml:space="preserve">： </w:t>
      </w:r>
    </w:p>
    <w:p w14:paraId="3E8C3D4C">
      <w:pPr>
        <w:widowControl/>
        <w:spacing w:line="360" w:lineRule="auto"/>
        <w:ind w:firstLine="560" w:firstLineChars="200"/>
        <w:jc w:val="left"/>
        <w:rPr>
          <w:rFonts w:hint="eastAsia" w:ascii="宋体" w:hAnsi="宋体" w:cs="宋体"/>
          <w:color w:val="auto"/>
          <w:sz w:val="28"/>
          <w:szCs w:val="28"/>
          <w:highlight w:val="none"/>
        </w:rPr>
      </w:pPr>
      <w:r>
        <w:rPr>
          <w:rFonts w:hint="eastAsia" w:ascii="宋体" w:hAnsi="宋体" w:cs="宋体"/>
          <w:color w:val="auto"/>
          <w:kern w:val="0"/>
          <w:sz w:val="28"/>
          <w:szCs w:val="28"/>
          <w:highlight w:val="none"/>
        </w:rPr>
        <w:t>我方</w:t>
      </w:r>
      <w:r>
        <w:rPr>
          <w:rFonts w:hint="eastAsia" w:ascii="宋体" w:hAnsi="宋体" w:cs="宋体"/>
          <w:color w:val="auto"/>
          <w:kern w:val="0"/>
          <w:sz w:val="28"/>
          <w:szCs w:val="28"/>
          <w:highlight w:val="none"/>
          <w:u w:val="single"/>
        </w:rPr>
        <w:t>（</w:t>
      </w:r>
      <w:r>
        <w:rPr>
          <w:rFonts w:hint="eastAsia" w:ascii="宋体" w:hAnsi="宋体" w:cs="宋体"/>
          <w:color w:val="auto"/>
          <w:sz w:val="28"/>
          <w:szCs w:val="28"/>
          <w:highlight w:val="none"/>
          <w:u w:val="single"/>
        </w:rPr>
        <w:t xml:space="preserve"> 供应商名称</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承诺符合资格要求，并在参加采购活动前三年内，具有良好的商业信誉，依法缴纳税收和社会保障资金，财务制度健全，未被列入失信被执行人名单、重大税收违法案件当事人名单、采购严重违法失信行为记录名单，在经营活动中没有重大违法记录（没有因违法经营受到刑事处罚，没有被责令停产停业、被吊销许可证或者执照、被处以较大数额罚款等行政处罚，没有因违法经营被禁止参加采购活动的期限未满情形）。如有虚假，采购人可取消我方任何资格（投标/中标/签订合同），我方对此无任何异议。</w:t>
      </w:r>
    </w:p>
    <w:p w14:paraId="76725F8B">
      <w:pPr>
        <w:widowControl/>
        <w:spacing w:line="360" w:lineRule="auto"/>
        <w:ind w:firstLine="560" w:firstLineChars="200"/>
        <w:jc w:val="left"/>
        <w:rPr>
          <w:rFonts w:hint="eastAsia" w:ascii="宋体" w:hAnsi="宋体" w:cs="宋体"/>
          <w:color w:val="auto"/>
          <w:sz w:val="28"/>
          <w:szCs w:val="28"/>
          <w:highlight w:val="none"/>
        </w:rPr>
      </w:pPr>
      <w:r>
        <w:rPr>
          <w:rFonts w:hint="eastAsia" w:ascii="宋体" w:hAnsi="宋体" w:cs="宋体"/>
          <w:color w:val="auto"/>
          <w:kern w:val="0"/>
          <w:sz w:val="28"/>
          <w:szCs w:val="28"/>
          <w:highlight w:val="none"/>
        </w:rPr>
        <w:t>特此承诺！</w:t>
      </w:r>
    </w:p>
    <w:p w14:paraId="55F41B97">
      <w:pPr>
        <w:widowControl/>
        <w:spacing w:line="360" w:lineRule="auto"/>
        <w:jc w:val="left"/>
        <w:rPr>
          <w:rFonts w:hint="eastAsia" w:ascii="宋体" w:hAnsi="宋体" w:cs="宋体"/>
          <w:color w:val="auto"/>
          <w:kern w:val="0"/>
          <w:sz w:val="28"/>
          <w:szCs w:val="28"/>
          <w:highlight w:val="none"/>
        </w:rPr>
      </w:pPr>
    </w:p>
    <w:p w14:paraId="5C44F1B6">
      <w:pPr>
        <w:widowControl/>
        <w:spacing w:line="360" w:lineRule="auto"/>
        <w:jc w:val="left"/>
        <w:rPr>
          <w:rFonts w:hint="eastAsia" w:ascii="宋体" w:hAnsi="宋体"/>
          <w:color w:val="auto"/>
          <w:sz w:val="28"/>
          <w:szCs w:val="28"/>
          <w:highlight w:val="none"/>
        </w:rPr>
      </w:pPr>
      <w:r>
        <w:rPr>
          <w:rFonts w:hint="eastAsia" w:ascii="宋体" w:hAnsi="宋体" w:cs="宋体"/>
          <w:color w:val="auto"/>
          <w:kern w:val="0"/>
          <w:sz w:val="28"/>
          <w:szCs w:val="28"/>
          <w:highlight w:val="none"/>
        </w:rPr>
        <w:t>投标人全称：    （</w:t>
      </w:r>
      <w:r>
        <w:rPr>
          <w:rFonts w:hint="eastAsia" w:ascii="宋体" w:hAnsi="宋体" w:cs="宋体"/>
          <w:bCs/>
          <w:color w:val="auto"/>
          <w:kern w:val="0"/>
          <w:sz w:val="28"/>
          <w:szCs w:val="28"/>
          <w:highlight w:val="none"/>
        </w:rPr>
        <w:t>盖单位公章</w:t>
      </w:r>
      <w:r>
        <w:rPr>
          <w:rFonts w:hint="eastAsia" w:ascii="宋体" w:hAnsi="宋体" w:cs="宋体"/>
          <w:color w:val="auto"/>
          <w:kern w:val="0"/>
          <w:sz w:val="28"/>
          <w:szCs w:val="28"/>
          <w:highlight w:val="none"/>
        </w:rPr>
        <w:t>）：</w:t>
      </w:r>
    </w:p>
    <w:p w14:paraId="1D042733">
      <w:pPr>
        <w:widowControl/>
        <w:spacing w:line="360" w:lineRule="auto"/>
        <w:jc w:val="left"/>
        <w:rPr>
          <w:rFonts w:hint="eastAsia" w:ascii="宋体" w:hAnsi="宋体" w:cs="宋体"/>
          <w:color w:val="auto"/>
          <w:kern w:val="0"/>
          <w:sz w:val="28"/>
          <w:szCs w:val="28"/>
          <w:highlight w:val="none"/>
        </w:rPr>
      </w:pPr>
    </w:p>
    <w:p w14:paraId="095AC6E0">
      <w:pPr>
        <w:widowControl/>
        <w:spacing w:line="360" w:lineRule="auto"/>
        <w:jc w:val="left"/>
        <w:rPr>
          <w:rFonts w:hint="eastAsia" w:ascii="宋体" w:hAnsi="宋体"/>
          <w:color w:val="auto"/>
          <w:sz w:val="28"/>
          <w:szCs w:val="28"/>
          <w:highlight w:val="none"/>
        </w:rPr>
      </w:pPr>
      <w:r>
        <w:rPr>
          <w:rFonts w:hint="eastAsia" w:ascii="宋体" w:hAnsi="宋体" w:cs="宋体"/>
          <w:color w:val="auto"/>
          <w:kern w:val="0"/>
          <w:sz w:val="28"/>
          <w:szCs w:val="28"/>
          <w:highlight w:val="none"/>
        </w:rPr>
        <w:t>法定代表人或</w:t>
      </w:r>
      <w:r>
        <w:rPr>
          <w:rFonts w:ascii="宋体" w:hAnsi="宋体" w:cs="宋体"/>
          <w:color w:val="auto"/>
          <w:kern w:val="0"/>
          <w:sz w:val="28"/>
          <w:szCs w:val="28"/>
          <w:highlight w:val="none"/>
        </w:rPr>
        <w:t>授权代表</w:t>
      </w:r>
      <w:r>
        <w:rPr>
          <w:rFonts w:hint="eastAsia" w:ascii="宋体" w:hAnsi="宋体" w:cs="宋体"/>
          <w:color w:val="auto"/>
          <w:kern w:val="0"/>
          <w:sz w:val="28"/>
          <w:szCs w:val="28"/>
          <w:highlight w:val="none"/>
        </w:rPr>
        <w:t xml:space="preserve">（签字）： </w:t>
      </w:r>
    </w:p>
    <w:p w14:paraId="12C101F4">
      <w:pPr>
        <w:widowControl/>
        <w:spacing w:line="360" w:lineRule="auto"/>
        <w:jc w:val="left"/>
        <w:rPr>
          <w:rFonts w:hint="eastAsia" w:ascii="宋体" w:hAnsi="宋体" w:cs="宋体"/>
          <w:color w:val="auto"/>
          <w:kern w:val="0"/>
          <w:sz w:val="28"/>
          <w:szCs w:val="28"/>
          <w:highlight w:val="none"/>
        </w:rPr>
      </w:pPr>
    </w:p>
    <w:p w14:paraId="731C676A">
      <w:pPr>
        <w:tabs>
          <w:tab w:val="left" w:pos="540"/>
        </w:tabs>
        <w:rPr>
          <w:rFonts w:hint="eastAsia" w:ascii="宋体" w:hAnsi="宋体"/>
          <w:b/>
          <w:color w:val="auto"/>
          <w:szCs w:val="21"/>
          <w:highlight w:val="none"/>
        </w:rPr>
      </w:pPr>
      <w:r>
        <w:rPr>
          <w:rFonts w:hint="eastAsia" w:ascii="宋体" w:hAnsi="宋体" w:cs="宋体"/>
          <w:color w:val="auto"/>
          <w:kern w:val="0"/>
          <w:sz w:val="28"/>
          <w:szCs w:val="28"/>
          <w:highlight w:val="none"/>
        </w:rPr>
        <w:t>日期：年 月 日</w:t>
      </w:r>
    </w:p>
    <w:p w14:paraId="79F6663B">
      <w:pPr>
        <w:tabs>
          <w:tab w:val="center" w:pos="4156"/>
        </w:tabs>
        <w:snapToGrid w:val="0"/>
        <w:spacing w:before="120" w:beforeLines="50" w:after="50"/>
        <w:rPr>
          <w:rFonts w:hint="eastAsia" w:ascii="宋体" w:hAnsi="宋体"/>
          <w:b/>
          <w:color w:val="auto"/>
          <w:sz w:val="30"/>
          <w:szCs w:val="20"/>
          <w:highlight w:val="none"/>
        </w:rPr>
      </w:pPr>
    </w:p>
    <w:p w14:paraId="246743A5">
      <w:pPr>
        <w:tabs>
          <w:tab w:val="center" w:pos="4156"/>
        </w:tabs>
        <w:snapToGrid w:val="0"/>
        <w:spacing w:before="120" w:beforeLines="50" w:after="50"/>
        <w:rPr>
          <w:rFonts w:hint="eastAsia" w:ascii="宋体" w:hAnsi="宋体"/>
          <w:b/>
          <w:color w:val="auto"/>
          <w:sz w:val="30"/>
          <w:szCs w:val="20"/>
          <w:highlight w:val="none"/>
        </w:rPr>
      </w:pPr>
    </w:p>
    <w:p w14:paraId="15C86973">
      <w:pPr>
        <w:tabs>
          <w:tab w:val="center" w:pos="4156"/>
        </w:tabs>
        <w:snapToGrid w:val="0"/>
        <w:spacing w:before="120" w:beforeLines="50" w:after="50"/>
        <w:rPr>
          <w:rFonts w:hint="eastAsia" w:ascii="宋体" w:hAnsi="宋体"/>
          <w:b/>
          <w:color w:val="auto"/>
          <w:sz w:val="30"/>
          <w:szCs w:val="20"/>
          <w:highlight w:val="none"/>
        </w:rPr>
      </w:pPr>
    </w:p>
    <w:p w14:paraId="3976EE69">
      <w:pPr>
        <w:tabs>
          <w:tab w:val="center" w:pos="4156"/>
        </w:tabs>
        <w:snapToGrid w:val="0"/>
        <w:spacing w:before="120" w:beforeLines="50" w:after="50"/>
        <w:rPr>
          <w:rFonts w:hint="eastAsia" w:ascii="宋体" w:hAnsi="宋体"/>
          <w:b/>
          <w:color w:val="auto"/>
          <w:sz w:val="30"/>
          <w:szCs w:val="20"/>
          <w:highlight w:val="none"/>
        </w:rPr>
      </w:pPr>
    </w:p>
    <w:p w14:paraId="43936577">
      <w:pPr>
        <w:tabs>
          <w:tab w:val="center" w:pos="4156"/>
        </w:tabs>
        <w:snapToGrid w:val="0"/>
        <w:spacing w:before="120" w:beforeLines="50" w:after="50"/>
        <w:rPr>
          <w:rFonts w:hint="eastAsia" w:ascii="宋体" w:hAnsi="宋体"/>
          <w:b/>
          <w:color w:val="auto"/>
          <w:sz w:val="30"/>
          <w:szCs w:val="20"/>
          <w:highlight w:val="none"/>
        </w:rPr>
      </w:pPr>
    </w:p>
    <w:p w14:paraId="2010E43E">
      <w:pPr>
        <w:tabs>
          <w:tab w:val="center" w:pos="4156"/>
        </w:tabs>
        <w:snapToGrid w:val="0"/>
        <w:spacing w:before="120" w:beforeLines="50" w:after="50"/>
        <w:rPr>
          <w:rFonts w:hint="eastAsia" w:ascii="宋体" w:hAnsi="宋体"/>
          <w:b/>
          <w:color w:val="auto"/>
          <w:sz w:val="30"/>
          <w:szCs w:val="20"/>
          <w:highlight w:val="none"/>
        </w:rPr>
      </w:pPr>
    </w:p>
    <w:p w14:paraId="60B14D86">
      <w:pPr>
        <w:tabs>
          <w:tab w:val="center" w:pos="4156"/>
        </w:tabs>
        <w:snapToGrid w:val="0"/>
        <w:spacing w:before="120" w:beforeLines="50" w:after="50"/>
        <w:rPr>
          <w:rFonts w:hint="eastAsia" w:ascii="宋体" w:hAnsi="宋体"/>
          <w:b/>
          <w:color w:val="auto"/>
          <w:sz w:val="30"/>
          <w:szCs w:val="20"/>
          <w:highlight w:val="none"/>
        </w:rPr>
      </w:pPr>
      <w:r>
        <w:rPr>
          <w:rFonts w:hint="eastAsia" w:ascii="宋体" w:hAnsi="宋体"/>
          <w:b/>
          <w:color w:val="auto"/>
          <w:sz w:val="30"/>
          <w:szCs w:val="20"/>
          <w:highlight w:val="none"/>
        </w:rPr>
        <w:t>附件：</w:t>
      </w:r>
      <w:r>
        <w:rPr>
          <w:rFonts w:ascii="宋体" w:hAnsi="宋体"/>
          <w:b/>
          <w:color w:val="auto"/>
          <w:sz w:val="30"/>
          <w:szCs w:val="20"/>
          <w:highlight w:val="none"/>
        </w:rPr>
        <w:tab/>
      </w:r>
    </w:p>
    <w:p w14:paraId="5DBEE07D">
      <w:pPr>
        <w:tabs>
          <w:tab w:val="center" w:pos="4156"/>
        </w:tabs>
        <w:snapToGrid w:val="0"/>
        <w:spacing w:before="120" w:beforeLines="50" w:after="50"/>
        <w:jc w:val="center"/>
        <w:rPr>
          <w:rFonts w:hint="eastAsia" w:ascii="宋体" w:hAnsi="宋体"/>
          <w:color w:val="auto"/>
          <w:sz w:val="24"/>
          <w:szCs w:val="20"/>
          <w:highlight w:val="none"/>
        </w:rPr>
      </w:pPr>
      <w:r>
        <w:rPr>
          <w:rFonts w:hint="eastAsia" w:ascii="宋体" w:hAnsi="宋体"/>
          <w:color w:val="auto"/>
          <w:sz w:val="30"/>
          <w:szCs w:val="20"/>
          <w:highlight w:val="none"/>
        </w:rPr>
        <w:t>投标声明书</w:t>
      </w:r>
    </w:p>
    <w:p w14:paraId="3E90B6A6">
      <w:pPr>
        <w:snapToGrid w:val="0"/>
        <w:spacing w:before="120" w:beforeLines="50" w:after="50"/>
        <w:rPr>
          <w:rFonts w:hint="eastAsia" w:ascii="宋体" w:hAnsi="宋体"/>
          <w:color w:val="auto"/>
          <w:sz w:val="24"/>
          <w:szCs w:val="20"/>
          <w:highlight w:val="none"/>
        </w:rPr>
      </w:pPr>
      <w:r>
        <w:rPr>
          <w:rFonts w:hint="eastAsia" w:ascii="宋体" w:hAnsi="宋体"/>
          <w:color w:val="auto"/>
          <w:sz w:val="24"/>
          <w:szCs w:val="20"/>
          <w:highlight w:val="none"/>
        </w:rPr>
        <w:t>致：</w:t>
      </w:r>
      <w:r>
        <w:rPr>
          <w:rFonts w:ascii="宋体" w:hAnsi="宋体"/>
          <w:color w:val="auto"/>
          <w:sz w:val="24"/>
          <w:szCs w:val="20"/>
          <w:highlight w:val="none"/>
        </w:rPr>
        <w:t>______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（招标机构、采购单位名称）：</w:t>
      </w:r>
    </w:p>
    <w:p w14:paraId="52318C39">
      <w:pPr>
        <w:snapToGrid w:val="0"/>
        <w:spacing w:before="120" w:beforeLines="50" w:after="50"/>
        <w:ind w:firstLine="720" w:firstLineChars="300"/>
        <w:rPr>
          <w:rFonts w:hint="eastAsia" w:ascii="宋体" w:hAnsi="宋体"/>
          <w:color w:val="auto"/>
          <w:sz w:val="24"/>
          <w:szCs w:val="20"/>
          <w:highlight w:val="none"/>
        </w:rPr>
      </w:pPr>
      <w:r>
        <w:rPr>
          <w:rFonts w:ascii="宋体" w:hAnsi="宋体"/>
          <w:color w:val="auto"/>
          <w:sz w:val="24"/>
          <w:szCs w:val="20"/>
          <w:highlight w:val="none"/>
        </w:rPr>
        <w:t>______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（投标人名称）系中华人民共和国合法</w:t>
      </w:r>
      <w:r>
        <w:rPr>
          <w:rFonts w:hint="eastAsia" w:ascii="宋体" w:hAnsi="宋体"/>
          <w:color w:val="auto"/>
          <w:sz w:val="24"/>
          <w:szCs w:val="20"/>
          <w:highlight w:val="none"/>
          <w:u w:val="single"/>
        </w:rPr>
        <w:t xml:space="preserve">      （企业、法人或其他）</w:t>
      </w:r>
      <w:r>
        <w:rPr>
          <w:rFonts w:hint="eastAsia" w:ascii="宋体" w:hAnsi="宋体"/>
          <w:color w:val="auto"/>
          <w:sz w:val="24"/>
          <w:szCs w:val="20"/>
          <w:highlight w:val="none"/>
        </w:rPr>
        <w:t>，经营地址</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w:t>
      </w:r>
    </w:p>
    <w:p w14:paraId="482F8D7D">
      <w:pPr>
        <w:snapToGrid w:val="0"/>
        <w:spacing w:before="120" w:beforeLines="50" w:after="50"/>
        <w:ind w:firstLine="645"/>
        <w:rPr>
          <w:rFonts w:hint="eastAsia" w:ascii="宋体" w:hAnsi="宋体"/>
          <w:color w:val="auto"/>
          <w:sz w:val="24"/>
          <w:szCs w:val="20"/>
          <w:highlight w:val="none"/>
        </w:rPr>
      </w:pPr>
      <w:r>
        <w:rPr>
          <w:rFonts w:hint="eastAsia" w:ascii="宋体" w:hAnsi="宋体"/>
          <w:color w:val="auto"/>
          <w:sz w:val="24"/>
          <w:szCs w:val="20"/>
          <w:highlight w:val="none"/>
        </w:rPr>
        <w:t>我</w:t>
      </w:r>
      <w:r>
        <w:rPr>
          <w:rFonts w:ascii="宋体" w:hAnsi="宋体"/>
          <w:color w:val="auto"/>
          <w:sz w:val="24"/>
          <w:szCs w:val="20"/>
          <w:highlight w:val="none"/>
        </w:rPr>
        <w:t>___</w:t>
      </w:r>
      <w:r>
        <w:rPr>
          <w:rFonts w:ascii="宋体" w:hAnsi="宋体"/>
          <w:color w:val="auto"/>
          <w:sz w:val="24"/>
          <w:szCs w:val="20"/>
          <w:highlight w:val="none"/>
          <w:u w:val="single"/>
        </w:rPr>
        <w:t>_</w:t>
      </w:r>
      <w:r>
        <w:rPr>
          <w:rFonts w:ascii="宋体" w:hAnsi="宋体"/>
          <w:color w:val="auto"/>
          <w:sz w:val="24"/>
          <w:szCs w:val="20"/>
          <w:highlight w:val="none"/>
        </w:rPr>
        <w:t>_</w:t>
      </w:r>
      <w:r>
        <w:rPr>
          <w:rFonts w:hint="eastAsia" w:ascii="宋体" w:hAnsi="宋体"/>
          <w:color w:val="auto"/>
          <w:sz w:val="24"/>
          <w:szCs w:val="20"/>
          <w:highlight w:val="none"/>
        </w:rPr>
        <w:t>（姓名）系</w:t>
      </w:r>
      <w:r>
        <w:rPr>
          <w:rFonts w:ascii="宋体" w:hAnsi="宋体"/>
          <w:color w:val="auto"/>
          <w:sz w:val="24"/>
          <w:szCs w:val="20"/>
          <w:highlight w:val="none"/>
        </w:rPr>
        <w:t>______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（投标人名称）的法定代表人，我方愿意参加贵方组织的</w:t>
      </w:r>
      <w:r>
        <w:rPr>
          <w:rFonts w:ascii="宋体" w:hAnsi="宋体"/>
          <w:color w:val="auto"/>
          <w:sz w:val="24"/>
          <w:szCs w:val="20"/>
          <w:highlight w:val="none"/>
        </w:rPr>
        <w:t>_____</w:t>
      </w:r>
      <w:r>
        <w:rPr>
          <w:rFonts w:ascii="宋体" w:hAnsi="宋体"/>
          <w:color w:val="auto"/>
          <w:sz w:val="24"/>
          <w:szCs w:val="20"/>
          <w:highlight w:val="none"/>
          <w:u w:val="single"/>
        </w:rPr>
        <w:t>___</w:t>
      </w:r>
      <w:r>
        <w:rPr>
          <w:rFonts w:ascii="宋体" w:hAnsi="宋体"/>
          <w:color w:val="auto"/>
          <w:sz w:val="24"/>
          <w:szCs w:val="20"/>
          <w:highlight w:val="none"/>
        </w:rPr>
        <w:t>_</w:t>
      </w:r>
      <w:r>
        <w:rPr>
          <w:rFonts w:hint="eastAsia" w:ascii="宋体" w:hAnsi="宋体"/>
          <w:color w:val="auto"/>
          <w:sz w:val="24"/>
          <w:szCs w:val="20"/>
          <w:highlight w:val="none"/>
        </w:rPr>
        <w:t>项目的投标，为便于贵方公正、择优地确定中标人及其投标产品和服务，我方就本次投标有关事项郑重声明如下：</w:t>
      </w:r>
    </w:p>
    <w:p w14:paraId="0D1C6CA2">
      <w:pPr>
        <w:snapToGrid w:val="0"/>
        <w:ind w:firstLine="480" w:firstLineChars="200"/>
        <w:rPr>
          <w:rFonts w:hint="eastAsia" w:ascii="宋体" w:hAnsi="宋体"/>
          <w:color w:val="auto"/>
          <w:sz w:val="24"/>
          <w:szCs w:val="20"/>
          <w:highlight w:val="none"/>
        </w:rPr>
      </w:pPr>
      <w:r>
        <w:rPr>
          <w:rFonts w:ascii="宋体" w:hAnsi="宋体"/>
          <w:color w:val="auto"/>
          <w:sz w:val="24"/>
          <w:szCs w:val="20"/>
          <w:highlight w:val="none"/>
        </w:rPr>
        <w:t>1</w:t>
      </w:r>
      <w:r>
        <w:rPr>
          <w:rFonts w:hint="eastAsia" w:ascii="宋体" w:hAnsi="宋体"/>
          <w:color w:val="auto"/>
          <w:sz w:val="24"/>
          <w:szCs w:val="20"/>
          <w:highlight w:val="none"/>
        </w:rPr>
        <w:t>.</w:t>
      </w:r>
      <w:r>
        <w:rPr>
          <w:rFonts w:ascii="宋体" w:hAnsi="宋体"/>
          <w:color w:val="auto"/>
          <w:sz w:val="24"/>
          <w:szCs w:val="20"/>
          <w:highlight w:val="none"/>
        </w:rPr>
        <w:t>我方向贵方提交的所有投标文件、资料都是准确的和真实的</w:t>
      </w:r>
      <w:r>
        <w:rPr>
          <w:rFonts w:hint="eastAsia" w:ascii="宋体" w:hAnsi="宋体"/>
          <w:color w:val="auto"/>
          <w:sz w:val="24"/>
          <w:szCs w:val="20"/>
          <w:highlight w:val="none"/>
        </w:rPr>
        <w:t>。</w:t>
      </w:r>
    </w:p>
    <w:p w14:paraId="5B93BCD9">
      <w:pPr>
        <w:snapToGrid w:val="0"/>
        <w:spacing w:before="120" w:beforeLines="50"/>
        <w:ind w:firstLine="480" w:firstLineChars="200"/>
        <w:rPr>
          <w:rFonts w:hint="eastAsia" w:ascii="宋体" w:hAnsi="宋体"/>
          <w:color w:val="auto"/>
          <w:sz w:val="24"/>
          <w:szCs w:val="20"/>
          <w:highlight w:val="none"/>
        </w:rPr>
      </w:pPr>
      <w:r>
        <w:rPr>
          <w:rFonts w:ascii="宋体" w:hAnsi="宋体"/>
          <w:color w:val="auto"/>
          <w:sz w:val="24"/>
          <w:szCs w:val="20"/>
          <w:highlight w:val="none"/>
        </w:rPr>
        <w:t>2</w:t>
      </w:r>
      <w:r>
        <w:rPr>
          <w:rFonts w:hint="eastAsia" w:ascii="宋体" w:hAnsi="宋体"/>
          <w:color w:val="auto"/>
          <w:sz w:val="24"/>
          <w:szCs w:val="20"/>
          <w:highlight w:val="none"/>
        </w:rPr>
        <w:t>.</w:t>
      </w:r>
      <w:r>
        <w:rPr>
          <w:rFonts w:ascii="宋体" w:hAnsi="宋体"/>
          <w:color w:val="auto"/>
          <w:sz w:val="24"/>
          <w:szCs w:val="20"/>
          <w:highlight w:val="none"/>
        </w:rPr>
        <w:t>我方</w:t>
      </w:r>
      <w:r>
        <w:rPr>
          <w:rFonts w:hint="eastAsia" w:ascii="宋体" w:hAnsi="宋体"/>
          <w:color w:val="auto"/>
          <w:sz w:val="24"/>
          <w:szCs w:val="20"/>
          <w:highlight w:val="none"/>
        </w:rPr>
        <w:t>现已清楚知道本项目的采购人情况，与之不存在投资关系、行政隶属关系、业务指导关系以及其他可能影响采购公正性的厉害关系。（如有，请如实说明）</w:t>
      </w:r>
    </w:p>
    <w:p w14:paraId="19B8FCCF">
      <w:pPr>
        <w:snapToGrid w:val="0"/>
        <w:spacing w:before="120" w:beforeLines="50"/>
        <w:ind w:firstLine="480" w:firstLineChars="200"/>
        <w:rPr>
          <w:rFonts w:hint="eastAsia" w:ascii="宋体" w:hAnsi="宋体"/>
          <w:color w:val="auto"/>
          <w:sz w:val="24"/>
          <w:szCs w:val="20"/>
          <w:highlight w:val="none"/>
        </w:rPr>
      </w:pPr>
      <w:r>
        <w:rPr>
          <w:rFonts w:ascii="宋体" w:hAnsi="宋体"/>
          <w:color w:val="auto"/>
          <w:sz w:val="24"/>
          <w:szCs w:val="20"/>
          <w:highlight w:val="none"/>
        </w:rPr>
        <w:t>3</w:t>
      </w:r>
      <w:r>
        <w:rPr>
          <w:rFonts w:hint="eastAsia" w:ascii="宋体" w:hAnsi="宋体"/>
          <w:color w:val="auto"/>
          <w:sz w:val="24"/>
          <w:szCs w:val="20"/>
          <w:highlight w:val="none"/>
        </w:rPr>
        <w:t>.</w:t>
      </w:r>
      <w:r>
        <w:rPr>
          <w:rFonts w:ascii="宋体" w:hAnsi="宋体"/>
          <w:color w:val="auto"/>
          <w:sz w:val="24"/>
          <w:szCs w:val="20"/>
          <w:highlight w:val="none"/>
        </w:rPr>
        <w:t>在获知本项目采购信息后，与采购人聘请的为此项目提供咨询服务的公司及其附属机构没有任何联系。</w:t>
      </w:r>
      <w:r>
        <w:rPr>
          <w:rFonts w:hint="eastAsia" w:ascii="宋体" w:hAnsi="宋体"/>
          <w:color w:val="auto"/>
          <w:sz w:val="24"/>
          <w:szCs w:val="20"/>
          <w:highlight w:val="none"/>
        </w:rPr>
        <w:t>（如有，请如实说明）</w:t>
      </w:r>
    </w:p>
    <w:p w14:paraId="233987D7">
      <w:pPr>
        <w:snapToGrid w:val="0"/>
        <w:spacing w:before="120" w:beforeLines="50"/>
        <w:ind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4.</w:t>
      </w:r>
      <w:r>
        <w:rPr>
          <w:rFonts w:ascii="宋体" w:hAnsi="宋体"/>
          <w:color w:val="auto"/>
          <w:sz w:val="24"/>
          <w:szCs w:val="20"/>
          <w:highlight w:val="none"/>
        </w:rPr>
        <w:t>我方此次向贵方提供的产品名称为：</w:t>
      </w:r>
    </w:p>
    <w:p w14:paraId="1BC5D745">
      <w:pPr>
        <w:snapToGrid w:val="0"/>
        <w:spacing w:before="120" w:beforeLines="50"/>
        <w:ind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5.</w:t>
      </w:r>
      <w:r>
        <w:rPr>
          <w:rFonts w:ascii="宋体" w:hAnsi="宋体"/>
          <w:color w:val="auto"/>
          <w:sz w:val="24"/>
          <w:szCs w:val="20"/>
          <w:highlight w:val="none"/>
        </w:rPr>
        <w:t>我方诚意提请贵方关注：</w:t>
      </w:r>
      <w:r>
        <w:rPr>
          <w:rFonts w:hint="eastAsia" w:ascii="宋体" w:hAnsi="宋体"/>
          <w:color w:val="auto"/>
          <w:sz w:val="24"/>
          <w:szCs w:val="20"/>
          <w:highlight w:val="none"/>
        </w:rPr>
        <w:t>近期</w:t>
      </w:r>
      <w:r>
        <w:rPr>
          <w:rFonts w:ascii="宋体" w:hAnsi="宋体"/>
          <w:color w:val="auto"/>
          <w:sz w:val="24"/>
          <w:szCs w:val="20"/>
          <w:highlight w:val="none"/>
        </w:rPr>
        <w:t>有关该产品的</w:t>
      </w:r>
      <w:r>
        <w:rPr>
          <w:rFonts w:hint="eastAsia" w:ascii="宋体" w:hAnsi="宋体"/>
          <w:color w:val="auto"/>
          <w:sz w:val="24"/>
          <w:szCs w:val="20"/>
          <w:highlight w:val="none"/>
        </w:rPr>
        <w:t>生产、供货、售后服务以及性能等方面的重大决策和事项有：</w:t>
      </w:r>
    </w:p>
    <w:p w14:paraId="0A859E92">
      <w:pPr>
        <w:snapToGrid w:val="0"/>
        <w:spacing w:before="120" w:beforeLines="50"/>
        <w:ind w:firstLine="480" w:firstLineChars="200"/>
        <w:rPr>
          <w:rFonts w:hint="eastAsia" w:ascii="宋体" w:hAnsi="宋体"/>
          <w:color w:val="auto"/>
          <w:sz w:val="24"/>
          <w:szCs w:val="20"/>
          <w:highlight w:val="none"/>
          <w:u w:val="single"/>
        </w:rPr>
      </w:pPr>
      <w:r>
        <w:rPr>
          <w:rFonts w:hint="eastAsia" w:ascii="宋体" w:hAnsi="宋体"/>
          <w:color w:val="auto"/>
          <w:sz w:val="24"/>
          <w:szCs w:val="20"/>
          <w:highlight w:val="none"/>
          <w:u w:val="single"/>
        </w:rPr>
        <w:t>（如有，请如实说明）　　　　　　　　　　　　　　　　　</w:t>
      </w:r>
    </w:p>
    <w:p w14:paraId="18902177">
      <w:pPr>
        <w:snapToGrid w:val="0"/>
        <w:spacing w:before="120" w:beforeLines="50"/>
        <w:ind w:firstLine="480" w:firstLineChars="200"/>
        <w:rPr>
          <w:rFonts w:hint="eastAsia" w:ascii="宋体" w:hAnsi="宋体"/>
          <w:color w:val="auto"/>
          <w:sz w:val="24"/>
          <w:szCs w:val="20"/>
          <w:highlight w:val="none"/>
        </w:rPr>
      </w:pPr>
      <w:r>
        <w:rPr>
          <w:rFonts w:hint="eastAsia" w:ascii="宋体" w:hAnsi="宋体"/>
          <w:color w:val="auto"/>
          <w:sz w:val="24"/>
          <w:szCs w:val="20"/>
          <w:highlight w:val="none"/>
          <w:u w:val="single"/>
        </w:rPr>
        <w:t>　　　　　　　　　　　　　　　　　　　　　　　　　　　</w:t>
      </w:r>
    </w:p>
    <w:p w14:paraId="6189399C">
      <w:pPr>
        <w:snapToGrid w:val="0"/>
        <w:ind w:firstLine="464" w:firstLineChars="200"/>
        <w:rPr>
          <w:rFonts w:hint="eastAsia" w:ascii="宋体" w:hAnsi="宋体"/>
          <w:color w:val="auto"/>
          <w:spacing w:val="-4"/>
          <w:sz w:val="24"/>
          <w:szCs w:val="20"/>
          <w:highlight w:val="none"/>
        </w:rPr>
      </w:pPr>
      <w:r>
        <w:rPr>
          <w:rFonts w:hint="eastAsia" w:ascii="宋体" w:hAnsi="宋体"/>
          <w:color w:val="auto"/>
          <w:spacing w:val="-4"/>
          <w:sz w:val="24"/>
          <w:szCs w:val="20"/>
          <w:highlight w:val="none"/>
        </w:rPr>
        <w:t>6.我方及由本人担任法定代表人的其他机构</w:t>
      </w:r>
      <w:r>
        <w:rPr>
          <w:rFonts w:ascii="宋体" w:hAnsi="宋体"/>
          <w:color w:val="auto"/>
          <w:spacing w:val="-4"/>
          <w:sz w:val="24"/>
          <w:szCs w:val="20"/>
          <w:highlight w:val="none"/>
        </w:rPr>
        <w:t>最近三年内被</w:t>
      </w:r>
      <w:r>
        <w:rPr>
          <w:rFonts w:hint="eastAsia" w:ascii="宋体" w:hAnsi="宋体"/>
          <w:color w:val="auto"/>
          <w:spacing w:val="-4"/>
          <w:sz w:val="24"/>
          <w:szCs w:val="20"/>
          <w:highlight w:val="none"/>
        </w:rPr>
        <w:t>通报或者被处罚的</w:t>
      </w:r>
      <w:r>
        <w:rPr>
          <w:rFonts w:ascii="宋体" w:hAnsi="宋体"/>
          <w:color w:val="auto"/>
          <w:spacing w:val="-4"/>
          <w:sz w:val="24"/>
          <w:szCs w:val="20"/>
          <w:highlight w:val="none"/>
        </w:rPr>
        <w:t>违法行为有：</w:t>
      </w:r>
    </w:p>
    <w:p w14:paraId="54A22C24">
      <w:pPr>
        <w:snapToGrid w:val="0"/>
        <w:spacing w:before="120" w:beforeLines="50"/>
        <w:ind w:firstLine="480" w:firstLineChars="200"/>
        <w:rPr>
          <w:rFonts w:hint="eastAsia" w:ascii="宋体" w:hAnsi="宋体"/>
          <w:color w:val="auto"/>
          <w:sz w:val="24"/>
          <w:szCs w:val="20"/>
          <w:highlight w:val="none"/>
          <w:u w:val="single"/>
        </w:rPr>
      </w:pPr>
      <w:r>
        <w:rPr>
          <w:rFonts w:hint="eastAsia" w:ascii="宋体" w:hAnsi="宋体"/>
          <w:color w:val="auto"/>
          <w:sz w:val="24"/>
          <w:szCs w:val="20"/>
          <w:highlight w:val="none"/>
          <w:u w:val="single"/>
        </w:rPr>
        <w:t>（如有，请如实说明）　　　　　　　　　　　　　　　　　　</w:t>
      </w:r>
    </w:p>
    <w:p w14:paraId="0FEC4515">
      <w:pPr>
        <w:snapToGrid w:val="0"/>
        <w:spacing w:before="120" w:beforeLines="50"/>
        <w:ind w:firstLine="480" w:firstLineChars="200"/>
        <w:rPr>
          <w:rFonts w:hint="eastAsia" w:ascii="宋体" w:hAnsi="宋体"/>
          <w:color w:val="auto"/>
          <w:sz w:val="24"/>
          <w:szCs w:val="20"/>
          <w:highlight w:val="none"/>
          <w:u w:val="single"/>
        </w:rPr>
      </w:pPr>
      <w:r>
        <w:rPr>
          <w:rFonts w:hint="eastAsia" w:ascii="宋体" w:hAnsi="宋体"/>
          <w:color w:val="auto"/>
          <w:sz w:val="24"/>
          <w:szCs w:val="20"/>
          <w:highlight w:val="none"/>
          <w:u w:val="single"/>
        </w:rPr>
        <w:t>　　　　　　　　　　　　　　　　　　　　　　　　　　　</w:t>
      </w:r>
    </w:p>
    <w:p w14:paraId="401127B0">
      <w:pPr>
        <w:snapToGrid w:val="0"/>
        <w:ind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7.以上事项如有虚假或隐瞒，我方愿意承担一切后果，并不再寻求任何旨在减轻或免除法律责任的辩解。</w:t>
      </w:r>
    </w:p>
    <w:p w14:paraId="5D8E5196">
      <w:pPr>
        <w:tabs>
          <w:tab w:val="left" w:pos="939"/>
        </w:tabs>
        <w:snapToGrid w:val="0"/>
        <w:ind w:left="773" w:leftChars="150" w:hanging="458" w:hangingChars="191"/>
        <w:rPr>
          <w:rFonts w:hint="eastAsia" w:ascii="宋体" w:hAnsi="宋体"/>
          <w:color w:val="auto"/>
          <w:sz w:val="24"/>
          <w:highlight w:val="none"/>
        </w:rPr>
      </w:pPr>
    </w:p>
    <w:p w14:paraId="4B8E3C5F">
      <w:pPr>
        <w:snapToGrid w:val="0"/>
        <w:spacing w:before="120" w:beforeLines="50"/>
        <w:ind w:firstLine="200"/>
        <w:rPr>
          <w:rFonts w:hint="eastAsia" w:ascii="宋体" w:hAnsi="宋体"/>
          <w:color w:val="auto"/>
          <w:sz w:val="24"/>
          <w:szCs w:val="20"/>
          <w:highlight w:val="none"/>
        </w:rPr>
      </w:pPr>
    </w:p>
    <w:p w14:paraId="51BCD13F">
      <w:pPr>
        <w:snapToGrid w:val="0"/>
        <w:spacing w:before="120" w:beforeLines="50"/>
        <w:ind w:firstLine="200"/>
        <w:rPr>
          <w:rFonts w:hint="eastAsia" w:ascii="宋体" w:hAnsi="宋体"/>
          <w:color w:val="auto"/>
          <w:sz w:val="24"/>
          <w:szCs w:val="20"/>
          <w:highlight w:val="none"/>
          <w:u w:val="single"/>
        </w:rPr>
      </w:pPr>
      <w:r>
        <w:rPr>
          <w:rFonts w:hint="eastAsia" w:ascii="宋体" w:hAnsi="宋体"/>
          <w:color w:val="auto"/>
          <w:sz w:val="24"/>
          <w:szCs w:val="20"/>
          <w:highlight w:val="none"/>
        </w:rPr>
        <w:t>法定代表人签字或盖章：</w:t>
      </w:r>
    </w:p>
    <w:p w14:paraId="65165ABE">
      <w:pPr>
        <w:snapToGrid w:val="0"/>
        <w:spacing w:before="120" w:beforeLines="50" w:after="50"/>
        <w:ind w:firstLine="240" w:firstLineChars="100"/>
        <w:rPr>
          <w:rFonts w:hint="eastAsia" w:ascii="宋体" w:hAnsi="宋体"/>
          <w:color w:val="auto"/>
          <w:sz w:val="24"/>
          <w:szCs w:val="20"/>
          <w:highlight w:val="none"/>
        </w:rPr>
      </w:pPr>
      <w:r>
        <w:rPr>
          <w:rFonts w:hint="eastAsia" w:ascii="宋体" w:hAnsi="宋体"/>
          <w:color w:val="auto"/>
          <w:sz w:val="24"/>
          <w:szCs w:val="20"/>
          <w:highlight w:val="none"/>
        </w:rPr>
        <w:t xml:space="preserve">投标人公章： </w:t>
      </w:r>
      <w:r>
        <w:rPr>
          <w:rFonts w:ascii="宋体" w:hAnsi="宋体"/>
          <w:color w:val="auto"/>
          <w:sz w:val="24"/>
          <w:szCs w:val="20"/>
          <w:highlight w:val="none"/>
        </w:rPr>
        <w:t>年</w:t>
      </w:r>
      <w:r>
        <w:rPr>
          <w:rFonts w:hint="eastAsia" w:ascii="宋体" w:hAnsi="宋体"/>
          <w:color w:val="auto"/>
          <w:sz w:val="24"/>
          <w:szCs w:val="20"/>
          <w:highlight w:val="none"/>
        </w:rPr>
        <w:t xml:space="preserve">  </w:t>
      </w:r>
      <w:r>
        <w:rPr>
          <w:rFonts w:ascii="宋体" w:hAnsi="宋体"/>
          <w:color w:val="auto"/>
          <w:sz w:val="24"/>
          <w:szCs w:val="20"/>
          <w:highlight w:val="none"/>
        </w:rPr>
        <w:t>月</w:t>
      </w:r>
      <w:r>
        <w:rPr>
          <w:rFonts w:hint="eastAsia" w:ascii="宋体" w:hAnsi="宋体"/>
          <w:color w:val="auto"/>
          <w:sz w:val="24"/>
          <w:szCs w:val="20"/>
          <w:highlight w:val="none"/>
        </w:rPr>
        <w:t xml:space="preserve">  </w:t>
      </w:r>
      <w:r>
        <w:rPr>
          <w:rFonts w:ascii="宋体" w:hAnsi="宋体"/>
          <w:color w:val="auto"/>
          <w:sz w:val="24"/>
          <w:szCs w:val="20"/>
          <w:highlight w:val="none"/>
        </w:rPr>
        <w:t>日</w:t>
      </w:r>
    </w:p>
    <w:p w14:paraId="3F9085CA">
      <w:pPr>
        <w:spacing w:after="120" w:line="360" w:lineRule="auto"/>
        <w:rPr>
          <w:rFonts w:hint="eastAsia" w:ascii="宋体" w:hAnsi="宋体"/>
          <w:b/>
          <w:color w:val="auto"/>
          <w:sz w:val="24"/>
          <w:highlight w:val="none"/>
        </w:rPr>
      </w:pPr>
      <w:r>
        <w:rPr>
          <w:rFonts w:hint="eastAsia" w:ascii="宋体" w:hAnsi="宋体"/>
          <w:b/>
          <w:color w:val="auto"/>
          <w:sz w:val="24"/>
          <w:highlight w:val="none"/>
        </w:rPr>
        <w:t>注：投标声明书格式不得随意变更且内容如实填写完整，否则将可能导致投标文件无效。</w:t>
      </w:r>
    </w:p>
    <w:p w14:paraId="3CB44FC8">
      <w:pPr>
        <w:snapToGrid w:val="0"/>
        <w:spacing w:before="120" w:beforeLines="50" w:after="50"/>
        <w:rPr>
          <w:rFonts w:hint="eastAsia" w:ascii="宋体" w:hAnsi="宋体"/>
          <w:b/>
          <w:color w:val="auto"/>
          <w:sz w:val="32"/>
          <w:szCs w:val="32"/>
          <w:highlight w:val="none"/>
        </w:rPr>
        <w:sectPr>
          <w:pgSz w:w="11906" w:h="16838"/>
          <w:pgMar w:top="1474" w:right="1247" w:bottom="1247" w:left="1247" w:header="851" w:footer="851" w:gutter="0"/>
          <w:cols w:space="720" w:num="1"/>
          <w:titlePg/>
          <w:docGrid w:linePitch="312" w:charSpace="0"/>
        </w:sectPr>
      </w:pPr>
    </w:p>
    <w:p w14:paraId="35FA78D4">
      <w:pPr>
        <w:snapToGrid w:val="0"/>
        <w:spacing w:before="120" w:beforeLines="50" w:after="50"/>
        <w:rPr>
          <w:rFonts w:hint="eastAsia" w:ascii="宋体" w:hAnsi="宋体"/>
          <w:b/>
          <w:color w:val="auto"/>
          <w:sz w:val="32"/>
          <w:szCs w:val="32"/>
          <w:highlight w:val="none"/>
        </w:rPr>
      </w:pPr>
      <w:r>
        <w:rPr>
          <w:rFonts w:hint="eastAsia" w:ascii="宋体" w:hAnsi="宋体"/>
          <w:b/>
          <w:color w:val="auto"/>
          <w:sz w:val="32"/>
          <w:szCs w:val="32"/>
          <w:highlight w:val="none"/>
        </w:rPr>
        <w:t>附件</w:t>
      </w:r>
    </w:p>
    <w:p w14:paraId="0B17D0E2">
      <w:pPr>
        <w:snapToGrid w:val="0"/>
        <w:spacing w:before="50" w:after="120" w:afterLines="50"/>
        <w:jc w:val="left"/>
        <w:rPr>
          <w:rFonts w:hint="eastAsia" w:ascii="宋体" w:hAnsi="宋体"/>
          <w:color w:val="auto"/>
          <w:sz w:val="24"/>
          <w:szCs w:val="20"/>
          <w:highlight w:val="none"/>
        </w:rPr>
      </w:pPr>
      <w:r>
        <w:rPr>
          <w:rFonts w:hint="eastAsia" w:ascii="宋体" w:hAnsi="宋体"/>
          <w:color w:val="auto"/>
          <w:sz w:val="24"/>
          <w:szCs w:val="20"/>
          <w:highlight w:val="none"/>
        </w:rPr>
        <w:t>法定代表人授权委托书格式：</w:t>
      </w:r>
    </w:p>
    <w:p w14:paraId="7DDC8368">
      <w:pPr>
        <w:snapToGrid w:val="0"/>
        <w:spacing w:before="120" w:beforeLines="50" w:after="50"/>
        <w:jc w:val="center"/>
        <w:rPr>
          <w:rFonts w:hint="eastAsia" w:ascii="宋体" w:hAnsi="宋体"/>
          <w:color w:val="auto"/>
          <w:sz w:val="30"/>
          <w:szCs w:val="20"/>
          <w:highlight w:val="none"/>
        </w:rPr>
      </w:pPr>
    </w:p>
    <w:p w14:paraId="2D3FD57E">
      <w:pPr>
        <w:snapToGrid w:val="0"/>
        <w:spacing w:before="120" w:beforeLines="50" w:after="50"/>
        <w:jc w:val="center"/>
        <w:rPr>
          <w:rFonts w:hint="eastAsia" w:ascii="宋体" w:hAnsi="宋体"/>
          <w:b/>
          <w:color w:val="auto"/>
          <w:sz w:val="24"/>
          <w:szCs w:val="20"/>
          <w:highlight w:val="none"/>
        </w:rPr>
      </w:pPr>
      <w:r>
        <w:rPr>
          <w:rFonts w:hint="eastAsia" w:ascii="宋体" w:hAnsi="宋体"/>
          <w:b/>
          <w:color w:val="auto"/>
          <w:sz w:val="24"/>
          <w:szCs w:val="20"/>
          <w:highlight w:val="none"/>
        </w:rPr>
        <w:t>法定代表人授权委托书</w:t>
      </w:r>
    </w:p>
    <w:p w14:paraId="6ADEC387">
      <w:pPr>
        <w:snapToGrid w:val="0"/>
        <w:spacing w:before="120" w:beforeLines="50" w:after="50"/>
        <w:rPr>
          <w:rFonts w:hint="eastAsia" w:ascii="宋体" w:hAnsi="宋体"/>
          <w:b/>
          <w:bCs/>
          <w:color w:val="auto"/>
          <w:sz w:val="24"/>
          <w:szCs w:val="20"/>
          <w:highlight w:val="none"/>
        </w:rPr>
      </w:pPr>
      <w:r>
        <w:rPr>
          <w:rFonts w:hint="eastAsia" w:ascii="宋体" w:hAnsi="宋体"/>
          <w:bCs/>
          <w:color w:val="auto"/>
          <w:sz w:val="24"/>
          <w:szCs w:val="20"/>
          <w:highlight w:val="none"/>
        </w:rPr>
        <w:t>致：</w:t>
      </w:r>
      <w:r>
        <w:rPr>
          <w:rFonts w:ascii="宋体" w:hAnsi="宋体"/>
          <w:color w:val="auto"/>
          <w:sz w:val="24"/>
          <w:szCs w:val="20"/>
          <w:highlight w:val="none"/>
        </w:rPr>
        <w:t>______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（招标机构、采购单位名称）：</w:t>
      </w:r>
    </w:p>
    <w:p w14:paraId="20288E3C">
      <w:pPr>
        <w:snapToGrid w:val="0"/>
        <w:spacing w:before="120" w:beforeLines="50" w:after="50"/>
        <w:ind w:firstLine="720" w:firstLineChars="300"/>
        <w:rPr>
          <w:rFonts w:hint="eastAsia" w:ascii="宋体" w:hAnsi="宋体"/>
          <w:color w:val="auto"/>
          <w:sz w:val="24"/>
          <w:szCs w:val="20"/>
          <w:highlight w:val="none"/>
        </w:rPr>
      </w:pPr>
      <w:r>
        <w:rPr>
          <w:rFonts w:hint="eastAsia" w:ascii="宋体" w:hAnsi="宋体"/>
          <w:color w:val="auto"/>
          <w:sz w:val="24"/>
          <w:szCs w:val="20"/>
          <w:highlight w:val="none"/>
        </w:rPr>
        <w:t>我</w:t>
      </w:r>
      <w:r>
        <w:rPr>
          <w:rFonts w:ascii="宋体" w:hAnsi="宋体"/>
          <w:color w:val="auto"/>
          <w:sz w:val="24"/>
          <w:szCs w:val="20"/>
          <w:highlight w:val="none"/>
        </w:rPr>
        <w:t>______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（姓名）系</w:t>
      </w:r>
      <w:r>
        <w:rPr>
          <w:rFonts w:ascii="宋体" w:hAnsi="宋体"/>
          <w:color w:val="auto"/>
          <w:sz w:val="24"/>
          <w:szCs w:val="20"/>
          <w:highlight w:val="none"/>
        </w:rPr>
        <w:t>______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（投标人名称）的法定代表人，现授权委托（姓名）      以我方的名义参加</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项目的投标活动，并代表我方全权办理针对上述项目的投标、开标、评标、签约等具体事务和签署相关文件。</w:t>
      </w:r>
    </w:p>
    <w:p w14:paraId="32DA5B18">
      <w:pPr>
        <w:snapToGrid w:val="0"/>
        <w:spacing w:before="120" w:beforeLines="50" w:after="50"/>
        <w:rPr>
          <w:rFonts w:hint="eastAsia" w:ascii="宋体" w:hAnsi="宋体"/>
          <w:color w:val="auto"/>
          <w:sz w:val="24"/>
          <w:szCs w:val="20"/>
          <w:highlight w:val="none"/>
        </w:rPr>
      </w:pPr>
      <w:r>
        <w:rPr>
          <w:rFonts w:hint="eastAsia" w:ascii="宋体" w:hAnsi="宋体"/>
          <w:color w:val="auto"/>
          <w:sz w:val="24"/>
          <w:szCs w:val="20"/>
          <w:highlight w:val="none"/>
        </w:rPr>
        <w:t>我方对被授权人的签名事项负全部责任。</w:t>
      </w:r>
    </w:p>
    <w:p w14:paraId="1FD4FF37">
      <w:pPr>
        <w:snapToGrid w:val="0"/>
        <w:spacing w:before="120" w:beforeLines="50" w:after="50"/>
        <w:ind w:firstLine="480"/>
        <w:rPr>
          <w:rFonts w:hint="eastAsia" w:ascii="宋体" w:hAnsi="宋体"/>
          <w:color w:val="auto"/>
          <w:sz w:val="24"/>
          <w:szCs w:val="20"/>
          <w:highlight w:val="none"/>
        </w:rPr>
      </w:pPr>
      <w:r>
        <w:rPr>
          <w:rFonts w:hint="eastAsia" w:ascii="宋体" w:hAnsi="宋体"/>
          <w:color w:val="auto"/>
          <w:sz w:val="24"/>
          <w:szCs w:val="20"/>
          <w:highlight w:val="none"/>
          <w:u w:val="single"/>
        </w:rPr>
        <w:t>在撤销授权的书面通知以前，本授权书一直有效。</w:t>
      </w:r>
      <w:r>
        <w:rPr>
          <w:rFonts w:hint="eastAsia" w:ascii="宋体" w:hAnsi="宋体"/>
          <w:color w:val="auto"/>
          <w:sz w:val="24"/>
          <w:szCs w:val="20"/>
          <w:highlight w:val="none"/>
        </w:rPr>
        <w:t>被授权人在授权书有效期内签署的所有文件不因授权的撤销而失效。</w:t>
      </w:r>
    </w:p>
    <w:p w14:paraId="07AE0F98">
      <w:pPr>
        <w:snapToGrid w:val="0"/>
        <w:spacing w:before="120" w:beforeLines="50" w:after="50"/>
        <w:ind w:firstLine="480"/>
        <w:rPr>
          <w:rFonts w:hint="eastAsia" w:ascii="宋体" w:hAnsi="宋体"/>
          <w:color w:val="auto"/>
          <w:sz w:val="24"/>
          <w:szCs w:val="20"/>
          <w:highlight w:val="none"/>
        </w:rPr>
      </w:pPr>
      <w:r>
        <w:rPr>
          <w:rFonts w:hint="eastAsia" w:ascii="宋体" w:hAnsi="宋体"/>
          <w:color w:val="auto"/>
          <w:sz w:val="24"/>
          <w:szCs w:val="20"/>
          <w:highlight w:val="none"/>
        </w:rPr>
        <w:t>被授权人无转委托权，特此委托。</w:t>
      </w:r>
    </w:p>
    <w:p w14:paraId="603CE837">
      <w:pPr>
        <w:snapToGrid w:val="0"/>
        <w:spacing w:before="120" w:beforeLines="50" w:after="50"/>
        <w:rPr>
          <w:rFonts w:hint="eastAsia" w:ascii="宋体" w:hAnsi="宋体"/>
          <w:color w:val="auto"/>
          <w:sz w:val="24"/>
          <w:szCs w:val="20"/>
          <w:highlight w:val="none"/>
        </w:rPr>
      </w:pPr>
    </w:p>
    <w:p w14:paraId="63CD5DA4">
      <w:pPr>
        <w:snapToGrid w:val="0"/>
        <w:spacing w:before="120" w:beforeLines="50" w:after="50"/>
        <w:rPr>
          <w:rFonts w:hint="eastAsia" w:ascii="宋体" w:hAnsi="宋体"/>
          <w:color w:val="auto"/>
          <w:sz w:val="24"/>
          <w:szCs w:val="20"/>
          <w:highlight w:val="none"/>
          <w:u w:val="single"/>
        </w:rPr>
      </w:pPr>
      <w:r>
        <w:rPr>
          <w:rFonts w:hint="eastAsia" w:ascii="宋体" w:hAnsi="宋体"/>
          <w:color w:val="auto"/>
          <w:sz w:val="24"/>
          <w:szCs w:val="20"/>
          <w:highlight w:val="none"/>
        </w:rPr>
        <w:t>被授权人签名：                     法定代表人签名或盖章：</w:t>
      </w:r>
    </w:p>
    <w:p w14:paraId="59AFE5AB">
      <w:pPr>
        <w:snapToGrid w:val="0"/>
        <w:spacing w:before="120" w:beforeLines="50" w:after="50"/>
        <w:rPr>
          <w:rFonts w:hint="eastAsia" w:ascii="宋体" w:hAnsi="宋体"/>
          <w:color w:val="auto"/>
          <w:sz w:val="24"/>
          <w:szCs w:val="20"/>
          <w:highlight w:val="none"/>
        </w:rPr>
      </w:pPr>
      <w:r>
        <w:rPr>
          <w:rFonts w:hint="eastAsia" w:ascii="宋体" w:hAnsi="宋体"/>
          <w:color w:val="auto"/>
          <w:sz w:val="24"/>
          <w:szCs w:val="20"/>
          <w:highlight w:val="none"/>
        </w:rPr>
        <w:t>职务：职务：</w:t>
      </w:r>
    </w:p>
    <w:p w14:paraId="12239C5E">
      <w:pPr>
        <w:snapToGrid w:val="0"/>
        <w:spacing w:before="120" w:beforeLines="50" w:after="50"/>
        <w:rPr>
          <w:rFonts w:hint="eastAsia" w:ascii="宋体" w:hAnsi="宋体"/>
          <w:color w:val="auto"/>
          <w:sz w:val="24"/>
          <w:szCs w:val="20"/>
          <w:highlight w:val="none"/>
        </w:rPr>
      </w:pPr>
      <w:r>
        <w:rPr>
          <w:rFonts w:hint="eastAsia" w:ascii="宋体" w:hAnsi="宋体"/>
          <w:color w:val="auto"/>
          <w:sz w:val="24"/>
          <w:szCs w:val="20"/>
          <w:highlight w:val="none"/>
        </w:rPr>
        <w:t>投标人公章：</w:t>
      </w:r>
    </w:p>
    <w:p w14:paraId="1E8E2116">
      <w:pPr>
        <w:snapToGrid w:val="0"/>
        <w:spacing w:before="120" w:beforeLines="50" w:after="50"/>
        <w:jc w:val="center"/>
        <w:rPr>
          <w:rFonts w:hint="eastAsia" w:ascii="宋体" w:hAnsi="宋体"/>
          <w:color w:val="auto"/>
          <w:sz w:val="24"/>
          <w:szCs w:val="20"/>
          <w:highlight w:val="none"/>
        </w:rPr>
      </w:pPr>
      <w:r>
        <w:rPr>
          <w:rFonts w:hint="eastAsia" w:ascii="宋体" w:hAnsi="宋体"/>
          <w:color w:val="auto"/>
          <w:sz w:val="24"/>
          <w:szCs w:val="20"/>
          <w:highlight w:val="none"/>
        </w:rPr>
        <w:t xml:space="preserve">                                     年  月   日</w:t>
      </w:r>
    </w:p>
    <w:p w14:paraId="16CC4B28">
      <w:pPr>
        <w:snapToGrid w:val="0"/>
        <w:spacing w:before="120" w:beforeLines="50" w:after="50"/>
        <w:jc w:val="center"/>
        <w:rPr>
          <w:rFonts w:hint="eastAsia" w:ascii="宋体" w:hAnsi="宋体"/>
          <w:color w:val="auto"/>
          <w:sz w:val="24"/>
          <w:szCs w:val="20"/>
          <w:highlight w:val="none"/>
        </w:rPr>
      </w:pPr>
    </w:p>
    <w:p w14:paraId="4FF7C9BA">
      <w:pPr>
        <w:pStyle w:val="5"/>
        <w:spacing w:line="500" w:lineRule="exact"/>
        <w:ind w:firstLine="436" w:firstLineChars="156"/>
        <w:jc w:val="center"/>
        <w:rPr>
          <w:rFonts w:ascii="仿宋_GB2312" w:eastAsia="仿宋_GB2312"/>
          <w:color w:val="auto"/>
          <w:sz w:val="28"/>
          <w:szCs w:val="28"/>
          <w:highlight w:val="none"/>
        </w:rPr>
      </w:pPr>
      <w:r>
        <w:rPr>
          <w:rFonts w:hint="eastAsia" w:ascii="仿宋_GB2312" w:eastAsia="仿宋_GB2312"/>
          <w:color w:val="auto"/>
          <w:sz w:val="28"/>
          <w:szCs w:val="28"/>
          <w:highlight w:val="none"/>
        </w:rPr>
        <w:t>—————————————————————————</w:t>
      </w:r>
    </w:p>
    <w:p w14:paraId="264146AE">
      <w:pPr>
        <w:pStyle w:val="5"/>
        <w:spacing w:line="500" w:lineRule="exact"/>
        <w:ind w:firstLine="436" w:firstLineChars="156"/>
        <w:jc w:val="center"/>
        <w:rPr>
          <w:rFonts w:ascii="仿宋_GB2312" w:eastAsia="仿宋_GB2312"/>
          <w:color w:val="auto"/>
          <w:sz w:val="28"/>
          <w:szCs w:val="28"/>
          <w:highlight w:val="none"/>
        </w:rPr>
      </w:pPr>
    </w:p>
    <w:p w14:paraId="58A93CFB">
      <w:pPr>
        <w:pStyle w:val="5"/>
        <w:spacing w:line="500" w:lineRule="exact"/>
        <w:ind w:firstLine="436" w:firstLineChars="156"/>
        <w:jc w:val="center"/>
        <w:rPr>
          <w:rFonts w:ascii="仿宋_GB2312" w:eastAsia="仿宋_GB2312"/>
          <w:color w:val="auto"/>
          <w:sz w:val="28"/>
          <w:szCs w:val="28"/>
          <w:highlight w:val="none"/>
        </w:rPr>
      </w:pPr>
    </w:p>
    <w:p w14:paraId="341D3C08">
      <w:pPr>
        <w:pStyle w:val="5"/>
        <w:spacing w:line="500" w:lineRule="exact"/>
        <w:ind w:firstLine="436" w:firstLineChars="156"/>
        <w:jc w:val="center"/>
        <w:rPr>
          <w:rFonts w:ascii="仿宋_GB2312" w:eastAsia="仿宋_GB2312"/>
          <w:color w:val="auto"/>
          <w:sz w:val="28"/>
          <w:szCs w:val="28"/>
          <w:highlight w:val="none"/>
        </w:rPr>
      </w:pPr>
    </w:p>
    <w:p w14:paraId="5A5BEF34">
      <w:pPr>
        <w:pStyle w:val="5"/>
        <w:spacing w:line="500" w:lineRule="exact"/>
        <w:ind w:firstLine="436" w:firstLineChars="156"/>
        <w:jc w:val="center"/>
        <w:rPr>
          <w:rFonts w:ascii="仿宋_GB2312" w:eastAsia="仿宋_GB2312"/>
          <w:color w:val="auto"/>
          <w:sz w:val="30"/>
          <w:szCs w:val="24"/>
          <w:highlight w:val="none"/>
        </w:rPr>
      </w:pPr>
      <w:r>
        <w:rPr>
          <w:rFonts w:hint="eastAsia" w:ascii="仿宋_GB2312" w:eastAsia="仿宋_GB2312"/>
          <w:color w:val="auto"/>
          <w:sz w:val="28"/>
          <w:szCs w:val="28"/>
          <w:highlight w:val="none"/>
        </w:rPr>
        <w:t>被授权人有效身份证明复印件粘贴处</w:t>
      </w:r>
    </w:p>
    <w:p w14:paraId="697377B5">
      <w:pPr>
        <w:spacing w:line="360" w:lineRule="auto"/>
        <w:ind w:firstLine="3600" w:firstLineChars="1500"/>
        <w:jc w:val="right"/>
        <w:rPr>
          <w:rFonts w:hint="eastAsia" w:ascii="宋体" w:hAnsi="宋体"/>
          <w:color w:val="auto"/>
          <w:sz w:val="24"/>
          <w:szCs w:val="20"/>
          <w:highlight w:val="none"/>
        </w:rPr>
      </w:pPr>
    </w:p>
    <w:p w14:paraId="36624E2A">
      <w:pPr>
        <w:spacing w:line="360" w:lineRule="auto"/>
        <w:ind w:firstLine="3600" w:firstLineChars="1500"/>
        <w:jc w:val="right"/>
        <w:rPr>
          <w:rFonts w:hint="eastAsia" w:ascii="宋体" w:hAnsi="宋体"/>
          <w:color w:val="auto"/>
          <w:sz w:val="24"/>
          <w:szCs w:val="20"/>
          <w:highlight w:val="none"/>
        </w:rPr>
      </w:pPr>
    </w:p>
    <w:p w14:paraId="345544FD">
      <w:pPr>
        <w:spacing w:line="360" w:lineRule="auto"/>
        <w:ind w:firstLine="3600" w:firstLineChars="1500"/>
        <w:jc w:val="right"/>
        <w:rPr>
          <w:rFonts w:hint="eastAsia" w:ascii="宋体" w:hAnsi="宋体"/>
          <w:color w:val="auto"/>
          <w:sz w:val="24"/>
          <w:szCs w:val="20"/>
          <w:highlight w:val="none"/>
        </w:rPr>
      </w:pPr>
    </w:p>
    <w:p w14:paraId="686530D3">
      <w:pPr>
        <w:spacing w:line="360" w:lineRule="auto"/>
        <w:ind w:firstLine="3600" w:firstLineChars="1500"/>
        <w:jc w:val="right"/>
        <w:rPr>
          <w:rFonts w:hint="eastAsia" w:ascii="宋体" w:hAnsi="宋体"/>
          <w:color w:val="auto"/>
          <w:sz w:val="24"/>
          <w:szCs w:val="20"/>
          <w:highlight w:val="none"/>
        </w:rPr>
      </w:pPr>
    </w:p>
    <w:p w14:paraId="65AAAACE">
      <w:pPr>
        <w:spacing w:after="120" w:line="360" w:lineRule="auto"/>
        <w:ind w:firstLine="472" w:firstLineChars="196"/>
        <w:rPr>
          <w:rFonts w:hint="eastAsia" w:ascii="宋体" w:hAnsi="宋体"/>
          <w:color w:val="auto"/>
          <w:sz w:val="24"/>
          <w:szCs w:val="20"/>
          <w:highlight w:val="none"/>
        </w:rPr>
      </w:pPr>
      <w:r>
        <w:rPr>
          <w:rFonts w:hint="eastAsia" w:ascii="宋体" w:hAnsi="宋体"/>
          <w:b/>
          <w:color w:val="auto"/>
          <w:sz w:val="24"/>
          <w:highlight w:val="none"/>
        </w:rPr>
        <w:t>注：法定代表人授权委托书格式不得随意变更且内容如实填写完整，否则将可能导致授权委托书无效。</w:t>
      </w:r>
    </w:p>
    <w:p w14:paraId="394BCE93">
      <w:pPr>
        <w:snapToGrid w:val="0"/>
        <w:spacing w:before="120" w:beforeLines="50" w:after="50"/>
        <w:jc w:val="center"/>
        <w:rPr>
          <w:rFonts w:hint="eastAsia" w:ascii="宋体" w:hAnsi="宋体"/>
          <w:color w:val="auto"/>
          <w:sz w:val="24"/>
          <w:szCs w:val="20"/>
          <w:highlight w:val="none"/>
        </w:rPr>
        <w:sectPr>
          <w:footerReference r:id="rId15" w:type="first"/>
          <w:footerReference r:id="rId14" w:type="default"/>
          <w:pgSz w:w="11906" w:h="16838"/>
          <w:pgMar w:top="1474" w:right="1797" w:bottom="1247" w:left="1797" w:header="851" w:footer="851" w:gutter="0"/>
          <w:cols w:space="720" w:num="1"/>
          <w:titlePg/>
          <w:docGrid w:linePitch="312" w:charSpace="0"/>
        </w:sectPr>
      </w:pPr>
    </w:p>
    <w:p w14:paraId="19BD6656">
      <w:pPr>
        <w:snapToGrid w:val="0"/>
        <w:spacing w:before="50" w:after="120" w:afterLines="50"/>
        <w:jc w:val="left"/>
        <w:rPr>
          <w:rFonts w:hint="eastAsia" w:ascii="宋体" w:hAnsi="宋体"/>
          <w:b/>
          <w:color w:val="auto"/>
          <w:sz w:val="28"/>
          <w:szCs w:val="28"/>
          <w:highlight w:val="none"/>
        </w:rPr>
      </w:pPr>
      <w:r>
        <w:rPr>
          <w:rFonts w:hint="eastAsia" w:ascii="宋体" w:hAnsi="宋体"/>
          <w:b/>
          <w:color w:val="auto"/>
          <w:sz w:val="28"/>
          <w:szCs w:val="28"/>
          <w:highlight w:val="none"/>
        </w:rPr>
        <w:t>附件：</w:t>
      </w:r>
    </w:p>
    <w:p w14:paraId="56E45F91">
      <w:pPr>
        <w:snapToGrid w:val="0"/>
        <w:spacing w:before="50" w:after="120" w:afterLines="50"/>
        <w:jc w:val="left"/>
        <w:rPr>
          <w:rFonts w:hint="eastAsia" w:ascii="宋体" w:hAnsi="宋体"/>
          <w:color w:val="auto"/>
          <w:sz w:val="24"/>
          <w:szCs w:val="20"/>
          <w:highlight w:val="none"/>
        </w:rPr>
      </w:pPr>
      <w:r>
        <w:rPr>
          <w:rFonts w:hint="eastAsia" w:ascii="宋体" w:hAnsi="宋体"/>
          <w:color w:val="auto"/>
          <w:sz w:val="24"/>
          <w:szCs w:val="20"/>
          <w:highlight w:val="none"/>
        </w:rPr>
        <w:t>投标方的类似成功案例的业绩证明文件：</w:t>
      </w:r>
    </w:p>
    <w:p w14:paraId="211ACFE8">
      <w:pPr>
        <w:snapToGrid w:val="0"/>
        <w:ind w:left="480" w:hanging="480" w:hangingChars="200"/>
        <w:rPr>
          <w:rFonts w:hint="eastAsia" w:ascii="宋体" w:hAnsi="宋体"/>
          <w:color w:val="auto"/>
          <w:sz w:val="24"/>
          <w:highlight w:val="none"/>
        </w:rPr>
      </w:pPr>
      <w:r>
        <w:rPr>
          <w:rFonts w:ascii="宋体" w:hAnsi="宋体"/>
          <w:color w:val="auto"/>
          <w:sz w:val="24"/>
          <w:highlight w:val="none"/>
        </w:rPr>
        <w:t>投标方</w:t>
      </w:r>
      <w:r>
        <w:rPr>
          <w:rFonts w:hint="eastAsia" w:ascii="宋体" w:hAnsi="宋体"/>
          <w:color w:val="auto"/>
          <w:sz w:val="24"/>
          <w:highlight w:val="none"/>
        </w:rPr>
        <w:t>类似</w:t>
      </w:r>
      <w:r>
        <w:rPr>
          <w:rFonts w:ascii="宋体" w:hAnsi="宋体"/>
          <w:color w:val="auto"/>
          <w:sz w:val="24"/>
          <w:highlight w:val="none"/>
        </w:rPr>
        <w:t>项目实施情况一览表格式：（投标方类似项目合同扫描件</w:t>
      </w:r>
      <w:r>
        <w:rPr>
          <w:rFonts w:hint="eastAsia" w:ascii="宋体" w:hAnsi="宋体"/>
          <w:color w:val="auto"/>
          <w:sz w:val="24"/>
          <w:highlight w:val="none"/>
        </w:rPr>
        <w:t>等</w:t>
      </w:r>
      <w:r>
        <w:rPr>
          <w:rFonts w:ascii="宋体" w:hAnsi="宋体"/>
          <w:color w:val="auto"/>
          <w:sz w:val="24"/>
          <w:highlight w:val="none"/>
        </w:rPr>
        <w:t>）</w:t>
      </w:r>
    </w:p>
    <w:tbl>
      <w:tblPr>
        <w:tblStyle w:val="17"/>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628"/>
        <w:gridCol w:w="3420"/>
        <w:gridCol w:w="1080"/>
        <w:gridCol w:w="1080"/>
        <w:gridCol w:w="1440"/>
        <w:gridCol w:w="1161"/>
        <w:gridCol w:w="999"/>
        <w:gridCol w:w="2160"/>
      </w:tblGrid>
      <w:tr w14:paraId="422267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628" w:type="dxa"/>
            <w:vMerge w:val="restart"/>
            <w:tcBorders>
              <w:top w:val="single" w:color="auto" w:sz="4" w:space="0"/>
              <w:left w:val="single" w:color="auto" w:sz="4" w:space="0"/>
              <w:bottom w:val="single" w:color="auto" w:sz="4" w:space="0"/>
              <w:right w:val="single" w:color="auto" w:sz="4" w:space="0"/>
            </w:tcBorders>
            <w:vAlign w:val="center"/>
          </w:tcPr>
          <w:p w14:paraId="2D07EA87">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采购单位名称</w:t>
            </w:r>
          </w:p>
        </w:tc>
        <w:tc>
          <w:tcPr>
            <w:tcW w:w="3420" w:type="dxa"/>
            <w:vMerge w:val="restart"/>
            <w:tcBorders>
              <w:top w:val="single" w:color="auto" w:sz="4" w:space="0"/>
              <w:left w:val="single" w:color="auto" w:sz="4" w:space="0"/>
              <w:bottom w:val="single" w:color="auto" w:sz="4" w:space="0"/>
              <w:right w:val="single" w:color="auto" w:sz="4" w:space="0"/>
            </w:tcBorders>
            <w:vAlign w:val="center"/>
          </w:tcPr>
          <w:p w14:paraId="61E88CA6">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项目名称</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1480D531">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采购</w:t>
            </w:r>
          </w:p>
          <w:p w14:paraId="6AD1BD13">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数量</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5728786B">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单价</w:t>
            </w:r>
          </w:p>
        </w:tc>
        <w:tc>
          <w:tcPr>
            <w:tcW w:w="1440" w:type="dxa"/>
            <w:vMerge w:val="restart"/>
            <w:tcBorders>
              <w:top w:val="single" w:color="auto" w:sz="4" w:space="0"/>
              <w:left w:val="single" w:color="auto" w:sz="4" w:space="0"/>
              <w:bottom w:val="single" w:color="auto" w:sz="4" w:space="0"/>
              <w:right w:val="single" w:color="auto" w:sz="4" w:space="0"/>
            </w:tcBorders>
            <w:vAlign w:val="center"/>
          </w:tcPr>
          <w:p w14:paraId="071AF276">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合同</w:t>
            </w:r>
          </w:p>
          <w:p w14:paraId="0B96DFD1">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金额</w:t>
            </w:r>
          </w:p>
          <w:p w14:paraId="02ACFDE2">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（万元）</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5008D521">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附件页码</w:t>
            </w:r>
          </w:p>
        </w:tc>
        <w:tc>
          <w:tcPr>
            <w:tcW w:w="2160" w:type="dxa"/>
            <w:vMerge w:val="restart"/>
            <w:tcBorders>
              <w:top w:val="single" w:color="auto" w:sz="4" w:space="0"/>
              <w:left w:val="single" w:color="auto" w:sz="4" w:space="0"/>
              <w:bottom w:val="single" w:color="auto" w:sz="4" w:space="0"/>
              <w:right w:val="single" w:color="auto" w:sz="4" w:space="0"/>
            </w:tcBorders>
            <w:vAlign w:val="center"/>
          </w:tcPr>
          <w:p w14:paraId="37D2E7DB">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采购单位联系人及</w:t>
            </w:r>
          </w:p>
          <w:p w14:paraId="741863DC">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联系电话</w:t>
            </w:r>
          </w:p>
        </w:tc>
      </w:tr>
      <w:tr w14:paraId="2B6D2F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628" w:type="dxa"/>
            <w:vMerge w:val="continue"/>
            <w:tcBorders>
              <w:top w:val="single" w:color="auto" w:sz="4" w:space="0"/>
              <w:left w:val="single" w:color="auto" w:sz="4" w:space="0"/>
              <w:bottom w:val="single" w:color="auto" w:sz="4" w:space="0"/>
              <w:right w:val="single" w:color="auto" w:sz="4" w:space="0"/>
            </w:tcBorders>
            <w:vAlign w:val="center"/>
          </w:tcPr>
          <w:p w14:paraId="17F3B7F1">
            <w:pPr>
              <w:keepNext w:val="0"/>
              <w:keepLines w:val="0"/>
              <w:widowControl/>
              <w:suppressLineNumbers w:val="0"/>
              <w:spacing w:before="0" w:beforeAutospacing="0" w:after="0" w:afterAutospacing="0"/>
              <w:ind w:left="0" w:right="0"/>
              <w:jc w:val="left"/>
              <w:rPr>
                <w:rFonts w:hint="eastAsia" w:ascii="宋体" w:hAnsi="宋体"/>
                <w:color w:val="auto"/>
                <w:sz w:val="18"/>
                <w:szCs w:val="20"/>
                <w:highlight w:val="none"/>
              </w:rPr>
            </w:pPr>
          </w:p>
        </w:tc>
        <w:tc>
          <w:tcPr>
            <w:tcW w:w="3420" w:type="dxa"/>
            <w:vMerge w:val="continue"/>
            <w:tcBorders>
              <w:top w:val="single" w:color="auto" w:sz="4" w:space="0"/>
              <w:left w:val="single" w:color="auto" w:sz="4" w:space="0"/>
              <w:bottom w:val="single" w:color="auto" w:sz="4" w:space="0"/>
              <w:right w:val="single" w:color="auto" w:sz="4" w:space="0"/>
            </w:tcBorders>
            <w:vAlign w:val="center"/>
          </w:tcPr>
          <w:p w14:paraId="2460F6C5">
            <w:pPr>
              <w:keepNext w:val="0"/>
              <w:keepLines w:val="0"/>
              <w:widowControl/>
              <w:suppressLineNumbers w:val="0"/>
              <w:spacing w:before="0" w:beforeAutospacing="0" w:after="0" w:afterAutospacing="0"/>
              <w:ind w:left="0" w:right="0"/>
              <w:jc w:val="left"/>
              <w:rPr>
                <w:rFonts w:hint="eastAsia" w:ascii="宋体" w:hAnsi="宋体"/>
                <w:color w:val="auto"/>
                <w:sz w:val="18"/>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3AE0B7DE">
            <w:pPr>
              <w:keepNext w:val="0"/>
              <w:keepLines w:val="0"/>
              <w:widowControl/>
              <w:suppressLineNumbers w:val="0"/>
              <w:spacing w:before="0" w:beforeAutospacing="0" w:after="0" w:afterAutospacing="0"/>
              <w:ind w:left="0" w:right="0"/>
              <w:jc w:val="left"/>
              <w:rPr>
                <w:rFonts w:hint="eastAsia" w:ascii="宋体" w:hAnsi="宋体"/>
                <w:color w:val="auto"/>
                <w:sz w:val="18"/>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0F053CBB">
            <w:pPr>
              <w:keepNext w:val="0"/>
              <w:keepLines w:val="0"/>
              <w:widowControl/>
              <w:suppressLineNumbers w:val="0"/>
              <w:spacing w:before="0" w:beforeAutospacing="0" w:after="0" w:afterAutospacing="0"/>
              <w:ind w:left="0" w:right="0"/>
              <w:jc w:val="left"/>
              <w:rPr>
                <w:rFonts w:hint="eastAsia" w:ascii="宋体" w:hAnsi="宋体"/>
                <w:color w:val="auto"/>
                <w:sz w:val="18"/>
                <w:szCs w:val="20"/>
                <w:highlight w:val="none"/>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0E94C172">
            <w:pPr>
              <w:keepNext w:val="0"/>
              <w:keepLines w:val="0"/>
              <w:widowControl/>
              <w:suppressLineNumbers w:val="0"/>
              <w:spacing w:before="0" w:beforeAutospacing="0" w:after="0" w:afterAutospacing="0"/>
              <w:ind w:left="0" w:right="0"/>
              <w:jc w:val="left"/>
              <w:rPr>
                <w:rFonts w:hint="eastAsia" w:ascii="宋体" w:hAnsi="宋体"/>
                <w:color w:val="auto"/>
                <w:sz w:val="18"/>
                <w:szCs w:val="20"/>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14:paraId="78A1B7C1">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合同</w:t>
            </w:r>
          </w:p>
        </w:tc>
        <w:tc>
          <w:tcPr>
            <w:tcW w:w="999" w:type="dxa"/>
            <w:tcBorders>
              <w:top w:val="single" w:color="auto" w:sz="4" w:space="0"/>
              <w:left w:val="single" w:color="auto" w:sz="4" w:space="0"/>
              <w:bottom w:val="single" w:color="auto" w:sz="4" w:space="0"/>
              <w:right w:val="single" w:color="auto" w:sz="4" w:space="0"/>
            </w:tcBorders>
            <w:vAlign w:val="center"/>
          </w:tcPr>
          <w:p w14:paraId="34D64E93">
            <w:pPr>
              <w:keepNext w:val="0"/>
              <w:keepLines w:val="0"/>
              <w:suppressLineNumbers w:val="0"/>
              <w:snapToGrid w:val="0"/>
              <w:spacing w:before="0" w:beforeAutospacing="0" w:after="0" w:afterAutospacing="0" w:line="240" w:lineRule="exact"/>
              <w:ind w:left="0" w:right="0"/>
              <w:jc w:val="center"/>
              <w:rPr>
                <w:rFonts w:hint="default" w:ascii="宋体" w:hAnsi="宋体" w:eastAsia="宋体"/>
                <w:color w:val="auto"/>
                <w:sz w:val="18"/>
                <w:szCs w:val="20"/>
                <w:highlight w:val="none"/>
                <w:lang w:val="en-US" w:eastAsia="zh-CN"/>
              </w:rPr>
            </w:pPr>
            <w:r>
              <w:rPr>
                <w:rFonts w:hint="eastAsia" w:ascii="宋体" w:hAnsi="宋体"/>
                <w:color w:val="auto"/>
                <w:sz w:val="18"/>
                <w:szCs w:val="20"/>
                <w:highlight w:val="none"/>
                <w:lang w:val="en-US" w:eastAsia="zh-CN"/>
              </w:rPr>
              <w:t>验收证明材料</w:t>
            </w:r>
          </w:p>
        </w:tc>
        <w:tc>
          <w:tcPr>
            <w:tcW w:w="2160" w:type="dxa"/>
            <w:vMerge w:val="continue"/>
            <w:tcBorders>
              <w:top w:val="single" w:color="auto" w:sz="4" w:space="0"/>
              <w:left w:val="single" w:color="auto" w:sz="4" w:space="0"/>
              <w:bottom w:val="single" w:color="auto" w:sz="4" w:space="0"/>
              <w:right w:val="single" w:color="auto" w:sz="4" w:space="0"/>
            </w:tcBorders>
            <w:vAlign w:val="center"/>
          </w:tcPr>
          <w:p w14:paraId="4C96D875">
            <w:pPr>
              <w:keepNext w:val="0"/>
              <w:keepLines w:val="0"/>
              <w:widowControl/>
              <w:suppressLineNumbers w:val="0"/>
              <w:spacing w:before="0" w:beforeAutospacing="0" w:after="0" w:afterAutospacing="0"/>
              <w:ind w:left="0" w:right="0"/>
              <w:jc w:val="left"/>
              <w:rPr>
                <w:rFonts w:hint="eastAsia" w:ascii="宋体" w:hAnsi="宋体"/>
                <w:color w:val="auto"/>
                <w:sz w:val="18"/>
                <w:szCs w:val="20"/>
                <w:highlight w:val="none"/>
              </w:rPr>
            </w:pPr>
          </w:p>
        </w:tc>
      </w:tr>
      <w:tr w14:paraId="319023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628" w:type="dxa"/>
            <w:tcBorders>
              <w:top w:val="single" w:color="auto" w:sz="4" w:space="0"/>
              <w:left w:val="single" w:color="auto" w:sz="4" w:space="0"/>
              <w:bottom w:val="single" w:color="auto" w:sz="4" w:space="0"/>
              <w:right w:val="single" w:color="auto" w:sz="4" w:space="0"/>
            </w:tcBorders>
          </w:tcPr>
          <w:p w14:paraId="29EBA4EC">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c>
          <w:tcPr>
            <w:tcW w:w="3420" w:type="dxa"/>
            <w:tcBorders>
              <w:top w:val="single" w:color="auto" w:sz="4" w:space="0"/>
              <w:left w:val="single" w:color="auto" w:sz="4" w:space="0"/>
              <w:bottom w:val="single" w:color="auto" w:sz="4" w:space="0"/>
              <w:right w:val="single" w:color="auto" w:sz="4" w:space="0"/>
            </w:tcBorders>
          </w:tcPr>
          <w:p w14:paraId="6C46F126">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33353DDF">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3E7C44E4">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c>
          <w:tcPr>
            <w:tcW w:w="1440" w:type="dxa"/>
            <w:tcBorders>
              <w:top w:val="single" w:color="auto" w:sz="4" w:space="0"/>
              <w:left w:val="single" w:color="auto" w:sz="4" w:space="0"/>
              <w:bottom w:val="single" w:color="auto" w:sz="4" w:space="0"/>
              <w:right w:val="single" w:color="auto" w:sz="4" w:space="0"/>
            </w:tcBorders>
          </w:tcPr>
          <w:p w14:paraId="3E8FEA0B">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c>
          <w:tcPr>
            <w:tcW w:w="1161" w:type="dxa"/>
            <w:tcBorders>
              <w:top w:val="single" w:color="auto" w:sz="4" w:space="0"/>
              <w:left w:val="single" w:color="auto" w:sz="4" w:space="0"/>
              <w:bottom w:val="single" w:color="auto" w:sz="4" w:space="0"/>
              <w:right w:val="single" w:color="auto" w:sz="4" w:space="0"/>
            </w:tcBorders>
          </w:tcPr>
          <w:p w14:paraId="75B5B575">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c>
          <w:tcPr>
            <w:tcW w:w="999" w:type="dxa"/>
            <w:tcBorders>
              <w:top w:val="single" w:color="auto" w:sz="4" w:space="0"/>
              <w:left w:val="single" w:color="auto" w:sz="4" w:space="0"/>
              <w:bottom w:val="single" w:color="auto" w:sz="4" w:space="0"/>
              <w:right w:val="single" w:color="auto" w:sz="4" w:space="0"/>
            </w:tcBorders>
          </w:tcPr>
          <w:p w14:paraId="71F03088">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c>
          <w:tcPr>
            <w:tcW w:w="2160" w:type="dxa"/>
            <w:tcBorders>
              <w:top w:val="single" w:color="auto" w:sz="4" w:space="0"/>
              <w:left w:val="single" w:color="auto" w:sz="4" w:space="0"/>
              <w:bottom w:val="single" w:color="auto" w:sz="4" w:space="0"/>
              <w:right w:val="single" w:color="auto" w:sz="4" w:space="0"/>
            </w:tcBorders>
          </w:tcPr>
          <w:p w14:paraId="77758486">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r>
      <w:tr w14:paraId="103650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2628" w:type="dxa"/>
            <w:tcBorders>
              <w:top w:val="single" w:color="auto" w:sz="4" w:space="0"/>
              <w:left w:val="single" w:color="auto" w:sz="4" w:space="0"/>
              <w:bottom w:val="single" w:color="auto" w:sz="4" w:space="0"/>
              <w:right w:val="single" w:color="auto" w:sz="4" w:space="0"/>
            </w:tcBorders>
          </w:tcPr>
          <w:p w14:paraId="66C33D74">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3420" w:type="dxa"/>
            <w:tcBorders>
              <w:top w:val="single" w:color="auto" w:sz="4" w:space="0"/>
              <w:left w:val="single" w:color="auto" w:sz="4" w:space="0"/>
              <w:bottom w:val="single" w:color="auto" w:sz="4" w:space="0"/>
              <w:right w:val="single" w:color="auto" w:sz="4" w:space="0"/>
            </w:tcBorders>
          </w:tcPr>
          <w:p w14:paraId="551EA5B9">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702A6A25">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24813762">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440" w:type="dxa"/>
            <w:tcBorders>
              <w:top w:val="single" w:color="auto" w:sz="4" w:space="0"/>
              <w:left w:val="single" w:color="auto" w:sz="4" w:space="0"/>
              <w:bottom w:val="single" w:color="auto" w:sz="4" w:space="0"/>
              <w:right w:val="single" w:color="auto" w:sz="4" w:space="0"/>
            </w:tcBorders>
          </w:tcPr>
          <w:p w14:paraId="5A078DC8">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161" w:type="dxa"/>
            <w:tcBorders>
              <w:top w:val="single" w:color="auto" w:sz="4" w:space="0"/>
              <w:left w:val="single" w:color="auto" w:sz="4" w:space="0"/>
              <w:bottom w:val="single" w:color="auto" w:sz="4" w:space="0"/>
              <w:right w:val="single" w:color="auto" w:sz="4" w:space="0"/>
            </w:tcBorders>
          </w:tcPr>
          <w:p w14:paraId="423E00AA">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999" w:type="dxa"/>
            <w:tcBorders>
              <w:top w:val="single" w:color="auto" w:sz="4" w:space="0"/>
              <w:left w:val="single" w:color="auto" w:sz="4" w:space="0"/>
              <w:bottom w:val="single" w:color="auto" w:sz="4" w:space="0"/>
              <w:right w:val="single" w:color="auto" w:sz="4" w:space="0"/>
            </w:tcBorders>
          </w:tcPr>
          <w:p w14:paraId="48A552BE">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2160" w:type="dxa"/>
            <w:tcBorders>
              <w:top w:val="single" w:color="auto" w:sz="4" w:space="0"/>
              <w:left w:val="single" w:color="auto" w:sz="4" w:space="0"/>
              <w:bottom w:val="single" w:color="auto" w:sz="4" w:space="0"/>
              <w:right w:val="single" w:color="auto" w:sz="4" w:space="0"/>
            </w:tcBorders>
          </w:tcPr>
          <w:p w14:paraId="26396206">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r>
      <w:tr w14:paraId="0AFBA3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628" w:type="dxa"/>
            <w:tcBorders>
              <w:top w:val="single" w:color="auto" w:sz="4" w:space="0"/>
              <w:left w:val="single" w:color="auto" w:sz="4" w:space="0"/>
              <w:bottom w:val="single" w:color="auto" w:sz="4" w:space="0"/>
              <w:right w:val="single" w:color="auto" w:sz="4" w:space="0"/>
            </w:tcBorders>
          </w:tcPr>
          <w:p w14:paraId="503FC900">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3420" w:type="dxa"/>
            <w:tcBorders>
              <w:top w:val="single" w:color="auto" w:sz="4" w:space="0"/>
              <w:left w:val="single" w:color="auto" w:sz="4" w:space="0"/>
              <w:bottom w:val="single" w:color="auto" w:sz="4" w:space="0"/>
              <w:right w:val="single" w:color="auto" w:sz="4" w:space="0"/>
            </w:tcBorders>
          </w:tcPr>
          <w:p w14:paraId="72148220">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2827F246">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78E65B97">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440" w:type="dxa"/>
            <w:tcBorders>
              <w:top w:val="single" w:color="auto" w:sz="4" w:space="0"/>
              <w:left w:val="single" w:color="auto" w:sz="4" w:space="0"/>
              <w:bottom w:val="single" w:color="auto" w:sz="4" w:space="0"/>
              <w:right w:val="single" w:color="auto" w:sz="4" w:space="0"/>
            </w:tcBorders>
          </w:tcPr>
          <w:p w14:paraId="7F470608">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161" w:type="dxa"/>
            <w:tcBorders>
              <w:top w:val="single" w:color="auto" w:sz="4" w:space="0"/>
              <w:left w:val="single" w:color="auto" w:sz="4" w:space="0"/>
              <w:bottom w:val="single" w:color="auto" w:sz="4" w:space="0"/>
              <w:right w:val="single" w:color="auto" w:sz="4" w:space="0"/>
            </w:tcBorders>
          </w:tcPr>
          <w:p w14:paraId="49D61939">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999" w:type="dxa"/>
            <w:tcBorders>
              <w:top w:val="single" w:color="auto" w:sz="4" w:space="0"/>
              <w:left w:val="single" w:color="auto" w:sz="4" w:space="0"/>
              <w:bottom w:val="single" w:color="auto" w:sz="4" w:space="0"/>
              <w:right w:val="single" w:color="auto" w:sz="4" w:space="0"/>
            </w:tcBorders>
          </w:tcPr>
          <w:p w14:paraId="277F5F10">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2160" w:type="dxa"/>
            <w:tcBorders>
              <w:top w:val="single" w:color="auto" w:sz="4" w:space="0"/>
              <w:left w:val="single" w:color="auto" w:sz="4" w:space="0"/>
              <w:bottom w:val="single" w:color="auto" w:sz="4" w:space="0"/>
              <w:right w:val="single" w:color="auto" w:sz="4" w:space="0"/>
            </w:tcBorders>
          </w:tcPr>
          <w:p w14:paraId="3B7CE478">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r>
      <w:tr w14:paraId="3D42A3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13E6020A">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3420" w:type="dxa"/>
            <w:tcBorders>
              <w:top w:val="single" w:color="auto" w:sz="4" w:space="0"/>
              <w:left w:val="single" w:color="auto" w:sz="4" w:space="0"/>
              <w:bottom w:val="single" w:color="auto" w:sz="4" w:space="0"/>
              <w:right w:val="single" w:color="auto" w:sz="4" w:space="0"/>
            </w:tcBorders>
          </w:tcPr>
          <w:p w14:paraId="5A1CF3DC">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147E8320">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1996D553">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440" w:type="dxa"/>
            <w:tcBorders>
              <w:top w:val="single" w:color="auto" w:sz="4" w:space="0"/>
              <w:left w:val="single" w:color="auto" w:sz="4" w:space="0"/>
              <w:bottom w:val="single" w:color="auto" w:sz="4" w:space="0"/>
              <w:right w:val="single" w:color="auto" w:sz="4" w:space="0"/>
            </w:tcBorders>
          </w:tcPr>
          <w:p w14:paraId="3CC3F75E">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161" w:type="dxa"/>
            <w:tcBorders>
              <w:top w:val="single" w:color="auto" w:sz="4" w:space="0"/>
              <w:left w:val="single" w:color="auto" w:sz="4" w:space="0"/>
              <w:bottom w:val="single" w:color="auto" w:sz="4" w:space="0"/>
              <w:right w:val="single" w:color="auto" w:sz="4" w:space="0"/>
            </w:tcBorders>
          </w:tcPr>
          <w:p w14:paraId="0671471F">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999" w:type="dxa"/>
            <w:tcBorders>
              <w:top w:val="single" w:color="auto" w:sz="4" w:space="0"/>
              <w:left w:val="single" w:color="auto" w:sz="4" w:space="0"/>
              <w:bottom w:val="single" w:color="auto" w:sz="4" w:space="0"/>
              <w:right w:val="single" w:color="auto" w:sz="4" w:space="0"/>
            </w:tcBorders>
          </w:tcPr>
          <w:p w14:paraId="3278F615">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2160" w:type="dxa"/>
            <w:tcBorders>
              <w:top w:val="single" w:color="auto" w:sz="4" w:space="0"/>
              <w:left w:val="single" w:color="auto" w:sz="4" w:space="0"/>
              <w:bottom w:val="single" w:color="auto" w:sz="4" w:space="0"/>
              <w:right w:val="single" w:color="auto" w:sz="4" w:space="0"/>
            </w:tcBorders>
          </w:tcPr>
          <w:p w14:paraId="17AAF399">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r>
      <w:tr w14:paraId="3C944B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2C1A0642">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3420" w:type="dxa"/>
            <w:tcBorders>
              <w:top w:val="single" w:color="auto" w:sz="4" w:space="0"/>
              <w:left w:val="single" w:color="auto" w:sz="4" w:space="0"/>
              <w:bottom w:val="single" w:color="auto" w:sz="4" w:space="0"/>
              <w:right w:val="single" w:color="auto" w:sz="4" w:space="0"/>
            </w:tcBorders>
          </w:tcPr>
          <w:p w14:paraId="5AF2372D">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23C464A1">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2EEB68D1">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440" w:type="dxa"/>
            <w:tcBorders>
              <w:top w:val="single" w:color="auto" w:sz="4" w:space="0"/>
              <w:left w:val="single" w:color="auto" w:sz="4" w:space="0"/>
              <w:bottom w:val="single" w:color="auto" w:sz="4" w:space="0"/>
              <w:right w:val="single" w:color="auto" w:sz="4" w:space="0"/>
            </w:tcBorders>
          </w:tcPr>
          <w:p w14:paraId="5487A7E5">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161" w:type="dxa"/>
            <w:tcBorders>
              <w:top w:val="single" w:color="auto" w:sz="4" w:space="0"/>
              <w:left w:val="single" w:color="auto" w:sz="4" w:space="0"/>
              <w:bottom w:val="single" w:color="auto" w:sz="4" w:space="0"/>
              <w:right w:val="single" w:color="auto" w:sz="4" w:space="0"/>
            </w:tcBorders>
          </w:tcPr>
          <w:p w14:paraId="0D2D2B9A">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999" w:type="dxa"/>
            <w:tcBorders>
              <w:top w:val="single" w:color="auto" w:sz="4" w:space="0"/>
              <w:left w:val="single" w:color="auto" w:sz="4" w:space="0"/>
              <w:bottom w:val="single" w:color="auto" w:sz="4" w:space="0"/>
              <w:right w:val="single" w:color="auto" w:sz="4" w:space="0"/>
            </w:tcBorders>
          </w:tcPr>
          <w:p w14:paraId="4FFE0A3F">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2160" w:type="dxa"/>
            <w:tcBorders>
              <w:top w:val="single" w:color="auto" w:sz="4" w:space="0"/>
              <w:left w:val="single" w:color="auto" w:sz="4" w:space="0"/>
              <w:bottom w:val="single" w:color="auto" w:sz="4" w:space="0"/>
              <w:right w:val="single" w:color="auto" w:sz="4" w:space="0"/>
            </w:tcBorders>
          </w:tcPr>
          <w:p w14:paraId="3299163E">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r>
    </w:tbl>
    <w:p w14:paraId="044E5FD9">
      <w:pPr>
        <w:snapToGrid w:val="0"/>
        <w:spacing w:before="152" w:after="160"/>
        <w:rPr>
          <w:rFonts w:hint="eastAsia" w:ascii="宋体" w:hAnsi="宋体" w:cs="Arial"/>
          <w:color w:val="auto"/>
          <w:sz w:val="24"/>
          <w:szCs w:val="20"/>
          <w:highlight w:val="none"/>
        </w:rPr>
      </w:pPr>
    </w:p>
    <w:p w14:paraId="4601AFE2">
      <w:pPr>
        <w:snapToGrid w:val="0"/>
        <w:spacing w:before="152" w:after="160"/>
        <w:rPr>
          <w:rFonts w:hint="eastAsia" w:ascii="宋体" w:hAnsi="宋体" w:cs="Arial"/>
          <w:color w:val="auto"/>
          <w:sz w:val="24"/>
          <w:szCs w:val="20"/>
          <w:highlight w:val="none"/>
          <w:u w:val="single"/>
        </w:rPr>
      </w:pPr>
      <w:r>
        <w:rPr>
          <w:rFonts w:hint="eastAsia" w:ascii="宋体" w:hAnsi="宋体" w:cs="Arial"/>
          <w:color w:val="auto"/>
          <w:sz w:val="24"/>
          <w:szCs w:val="20"/>
          <w:highlight w:val="none"/>
        </w:rPr>
        <w:t>法定代表人签字或盖章：</w:t>
      </w:r>
      <w:r>
        <w:rPr>
          <w:rFonts w:hint="eastAsia" w:ascii="宋体" w:hAnsi="宋体" w:cs="Arial"/>
          <w:color w:val="auto"/>
          <w:sz w:val="24"/>
          <w:szCs w:val="20"/>
          <w:highlight w:val="none"/>
          <w:u w:val="single"/>
        </w:rPr>
        <w:t>　　　　　</w:t>
      </w:r>
    </w:p>
    <w:p w14:paraId="7F0DF487">
      <w:pPr>
        <w:snapToGrid w:val="0"/>
        <w:spacing w:before="50"/>
        <w:jc w:val="left"/>
        <w:rPr>
          <w:rFonts w:hint="eastAsia" w:ascii="宋体" w:hAnsi="宋体"/>
          <w:color w:val="auto"/>
          <w:sz w:val="24"/>
          <w:szCs w:val="20"/>
          <w:highlight w:val="none"/>
        </w:rPr>
      </w:pPr>
      <w:r>
        <w:rPr>
          <w:rFonts w:hint="eastAsia" w:ascii="宋体" w:hAnsi="宋体"/>
          <w:color w:val="auto"/>
          <w:sz w:val="24"/>
          <w:szCs w:val="20"/>
          <w:highlight w:val="none"/>
        </w:rPr>
        <w:t>投标方公章：</w:t>
      </w:r>
    </w:p>
    <w:p w14:paraId="3BEBB4B9">
      <w:pPr>
        <w:snapToGrid w:val="0"/>
        <w:spacing w:before="50"/>
        <w:ind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年</w:t>
      </w:r>
      <w:r>
        <w:rPr>
          <w:rFonts w:hint="eastAsia" w:ascii="宋体" w:hAnsi="宋体"/>
          <w:color w:val="auto"/>
          <w:sz w:val="24"/>
          <w:szCs w:val="20"/>
          <w:highlight w:val="none"/>
          <w:lang w:val="en-US" w:eastAsia="zh-CN"/>
        </w:rPr>
        <w:t xml:space="preserve">   </w:t>
      </w:r>
      <w:r>
        <w:rPr>
          <w:rFonts w:hint="eastAsia" w:ascii="宋体" w:hAnsi="宋体"/>
          <w:color w:val="auto"/>
          <w:sz w:val="24"/>
          <w:szCs w:val="20"/>
          <w:highlight w:val="none"/>
        </w:rPr>
        <w:t>月</w:t>
      </w:r>
      <w:r>
        <w:rPr>
          <w:rFonts w:hint="eastAsia" w:ascii="宋体" w:hAnsi="宋体"/>
          <w:color w:val="auto"/>
          <w:sz w:val="24"/>
          <w:szCs w:val="20"/>
          <w:highlight w:val="none"/>
          <w:lang w:val="en-US" w:eastAsia="zh-CN"/>
        </w:rPr>
        <w:t xml:space="preserve">   </w:t>
      </w:r>
      <w:r>
        <w:rPr>
          <w:rFonts w:hint="eastAsia" w:ascii="宋体" w:hAnsi="宋体"/>
          <w:color w:val="auto"/>
          <w:sz w:val="24"/>
          <w:szCs w:val="20"/>
          <w:highlight w:val="none"/>
        </w:rPr>
        <w:t>日</w:t>
      </w:r>
    </w:p>
    <w:p w14:paraId="7DED721D">
      <w:pPr>
        <w:snapToGrid w:val="0"/>
        <w:spacing w:before="50"/>
        <w:ind w:firstLine="480" w:firstLineChars="200"/>
        <w:jc w:val="left"/>
        <w:rPr>
          <w:rFonts w:hint="eastAsia" w:ascii="宋体" w:hAnsi="宋体"/>
          <w:color w:val="auto"/>
          <w:sz w:val="24"/>
          <w:szCs w:val="20"/>
          <w:highlight w:val="none"/>
        </w:rPr>
      </w:pPr>
    </w:p>
    <w:p w14:paraId="66859707">
      <w:pPr>
        <w:snapToGrid w:val="0"/>
        <w:spacing w:before="50" w:after="120" w:afterLines="50"/>
        <w:jc w:val="left"/>
        <w:rPr>
          <w:rFonts w:hint="eastAsia" w:ascii="宋体" w:hAnsi="宋体"/>
          <w:color w:val="auto"/>
          <w:sz w:val="24"/>
          <w:szCs w:val="20"/>
          <w:highlight w:val="none"/>
        </w:rPr>
        <w:sectPr>
          <w:pgSz w:w="16838" w:h="11906" w:orient="landscape"/>
          <w:pgMar w:top="1797" w:right="1474" w:bottom="1797" w:left="1247" w:header="851" w:footer="851" w:gutter="0"/>
          <w:cols w:space="720" w:num="1"/>
          <w:docGrid w:linePitch="312" w:charSpace="0"/>
        </w:sectPr>
      </w:pPr>
    </w:p>
    <w:p w14:paraId="0D5F9180">
      <w:pPr>
        <w:spacing w:line="588" w:lineRule="exact"/>
        <w:jc w:val="left"/>
        <w:rPr>
          <w:rFonts w:hint="eastAsia" w:ascii="宋体" w:hAnsi="宋体"/>
          <w:b/>
          <w:color w:val="auto"/>
          <w:spacing w:val="6"/>
          <w:sz w:val="32"/>
          <w:szCs w:val="32"/>
          <w:highlight w:val="none"/>
        </w:rPr>
      </w:pPr>
      <w:r>
        <w:rPr>
          <w:rFonts w:hint="eastAsia" w:ascii="宋体" w:hAnsi="宋体"/>
          <w:b/>
          <w:color w:val="auto"/>
          <w:spacing w:val="6"/>
          <w:sz w:val="32"/>
          <w:szCs w:val="32"/>
          <w:highlight w:val="none"/>
        </w:rPr>
        <w:t>附件：</w:t>
      </w:r>
    </w:p>
    <w:p w14:paraId="7DCBCEF8">
      <w:pPr>
        <w:spacing w:line="360" w:lineRule="auto"/>
        <w:jc w:val="center"/>
        <w:rPr>
          <w:rFonts w:hint="eastAsia" w:ascii="仿宋_GB2312" w:hAnsi="宋体" w:eastAsia="仿宋_GB2312"/>
          <w:b/>
          <w:bCs/>
          <w:color w:val="auto"/>
          <w:sz w:val="28"/>
          <w:szCs w:val="28"/>
          <w:highlight w:val="none"/>
        </w:rPr>
      </w:pPr>
      <w:r>
        <w:rPr>
          <w:rFonts w:hint="eastAsia" w:ascii="仿宋_GB2312" w:eastAsia="仿宋_GB2312"/>
          <w:b/>
          <w:bCs/>
          <w:color w:val="auto"/>
          <w:sz w:val="28"/>
          <w:szCs w:val="28"/>
          <w:highlight w:val="none"/>
        </w:rPr>
        <w:t>商务条款偏离表</w:t>
      </w:r>
    </w:p>
    <w:p w14:paraId="2F19A5B8">
      <w:pPr>
        <w:spacing w:line="360" w:lineRule="auto"/>
        <w:rPr>
          <w:rFonts w:ascii="仿宋_GB2312" w:eastAsia="仿宋_GB2312"/>
          <w:color w:val="auto"/>
          <w:sz w:val="28"/>
          <w:szCs w:val="28"/>
          <w:highlight w:val="none"/>
        </w:rPr>
      </w:pPr>
      <w:r>
        <w:rPr>
          <w:rFonts w:hint="eastAsia" w:ascii="仿宋_GB2312" w:hAnsi="宋体" w:eastAsia="仿宋_GB2312"/>
          <w:color w:val="auto"/>
          <w:sz w:val="28"/>
          <w:szCs w:val="28"/>
          <w:highlight w:val="none"/>
        </w:rPr>
        <w:t>投标人全称（加盖公章）：</w:t>
      </w:r>
    </w:p>
    <w:tbl>
      <w:tblPr>
        <w:tblStyle w:val="17"/>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8"/>
        <w:gridCol w:w="3060"/>
        <w:gridCol w:w="3060"/>
        <w:gridCol w:w="1775"/>
      </w:tblGrid>
      <w:tr w14:paraId="2003DD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vAlign w:val="center"/>
          </w:tcPr>
          <w:p w14:paraId="7D446914">
            <w:pPr>
              <w:keepNext w:val="0"/>
              <w:keepLines w:val="0"/>
              <w:suppressLineNumbers w:val="0"/>
              <w:spacing w:before="0" w:beforeAutospacing="0" w:after="0" w:afterAutospacing="0" w:line="360" w:lineRule="auto"/>
              <w:ind w:left="0" w:right="0"/>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序号</w:t>
            </w:r>
          </w:p>
        </w:tc>
        <w:tc>
          <w:tcPr>
            <w:tcW w:w="3060" w:type="dxa"/>
            <w:tcBorders>
              <w:top w:val="single" w:color="auto" w:sz="4" w:space="0"/>
              <w:left w:val="single" w:color="auto" w:sz="4" w:space="0"/>
              <w:bottom w:val="single" w:color="auto" w:sz="4" w:space="0"/>
              <w:right w:val="single" w:color="auto" w:sz="4" w:space="0"/>
            </w:tcBorders>
            <w:vAlign w:val="center"/>
          </w:tcPr>
          <w:p w14:paraId="4EF3C265">
            <w:pPr>
              <w:keepNext w:val="0"/>
              <w:keepLines w:val="0"/>
              <w:suppressLineNumbers w:val="0"/>
              <w:spacing w:before="0" w:beforeAutospacing="0" w:after="0" w:afterAutospacing="0" w:line="360" w:lineRule="auto"/>
              <w:ind w:left="0" w:right="0"/>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招标文件的商务条款</w:t>
            </w:r>
          </w:p>
        </w:tc>
        <w:tc>
          <w:tcPr>
            <w:tcW w:w="3060" w:type="dxa"/>
            <w:tcBorders>
              <w:top w:val="single" w:color="auto" w:sz="4" w:space="0"/>
              <w:left w:val="single" w:color="auto" w:sz="4" w:space="0"/>
              <w:bottom w:val="single" w:color="auto" w:sz="4" w:space="0"/>
              <w:right w:val="single" w:color="auto" w:sz="4" w:space="0"/>
            </w:tcBorders>
            <w:vAlign w:val="center"/>
          </w:tcPr>
          <w:p w14:paraId="6754D437">
            <w:pPr>
              <w:keepNext w:val="0"/>
              <w:keepLines w:val="0"/>
              <w:suppressLineNumbers w:val="0"/>
              <w:spacing w:before="0" w:beforeAutospacing="0" w:after="0" w:afterAutospacing="0" w:line="360" w:lineRule="auto"/>
              <w:ind w:left="0" w:right="0"/>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投标文件的商务条款</w:t>
            </w:r>
          </w:p>
        </w:tc>
        <w:tc>
          <w:tcPr>
            <w:tcW w:w="1775" w:type="dxa"/>
            <w:tcBorders>
              <w:top w:val="single" w:color="auto" w:sz="4" w:space="0"/>
              <w:left w:val="single" w:color="auto" w:sz="4" w:space="0"/>
              <w:bottom w:val="single" w:color="auto" w:sz="4" w:space="0"/>
              <w:right w:val="single" w:color="auto" w:sz="4" w:space="0"/>
            </w:tcBorders>
            <w:vAlign w:val="center"/>
          </w:tcPr>
          <w:p w14:paraId="55EDE13E">
            <w:pPr>
              <w:keepNext w:val="0"/>
              <w:keepLines w:val="0"/>
              <w:suppressLineNumbers w:val="0"/>
              <w:spacing w:before="0" w:beforeAutospacing="0" w:after="0" w:afterAutospacing="0" w:line="360" w:lineRule="auto"/>
              <w:ind w:left="0" w:right="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偏离原因</w:t>
            </w:r>
          </w:p>
        </w:tc>
      </w:tr>
      <w:tr w14:paraId="7BF2C9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2D272BAF">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077C84F8">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1D7AFD86">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1D14B38B">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77BAAE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2AD8B089">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68091D9D">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30245CCE">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201B0E8A">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22C651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179E8955">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7AFC11D0">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2B2E9581">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4183DFC1">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792A63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1905E5EF">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3DE1E506">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3CBE54D5">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49CB43BF">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70AEA5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79B053EE">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2106CF3F">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1710704F">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1E33ECC8">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134EA3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1219AB7B">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3CAFC67A">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13ECA905">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786C9D6A">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00EBFA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1B41F974">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1DF225A8">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4BF5DB8B">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75832E14">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69322A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53508E86">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0C094F55">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2FE0A4A9">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5FEE0923">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710382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3048BE40">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7E48F7A0">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18910A08">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0F2313EA">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66CDA9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3FF9C8EE">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099FB072">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7E04A6A1">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08D9BAA0">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bl>
    <w:p w14:paraId="7BA6D59A">
      <w:pP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法定代表人签名或盖章：</w:t>
      </w:r>
    </w:p>
    <w:p w14:paraId="00425F1C">
      <w:pP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日期：   年   月   日</w:t>
      </w:r>
    </w:p>
    <w:p w14:paraId="0A9C5E58">
      <w:pPr>
        <w:rPr>
          <w:b/>
          <w:color w:val="auto"/>
          <w:highlight w:val="none"/>
        </w:rPr>
      </w:pPr>
      <w:r>
        <w:rPr>
          <w:rFonts w:hint="eastAsia" w:ascii="仿宋_GB2312" w:eastAsia="仿宋_GB2312"/>
          <w:b/>
          <w:color w:val="auto"/>
          <w:sz w:val="24"/>
          <w:highlight w:val="none"/>
        </w:rPr>
        <w:t>注：本表格为商务要求中除报价以外的其他要求，不填写视同完全响应采购文件要求，此表可在不改变格式的情况下自行制作。</w:t>
      </w:r>
    </w:p>
    <w:p w14:paraId="51ECA710">
      <w:pPr>
        <w:snapToGrid w:val="0"/>
        <w:rPr>
          <w:rFonts w:hint="eastAsia" w:ascii="宋体" w:hAnsi="宋体"/>
          <w:b/>
          <w:color w:val="auto"/>
          <w:sz w:val="30"/>
          <w:szCs w:val="30"/>
          <w:highlight w:val="none"/>
        </w:rPr>
      </w:pPr>
    </w:p>
    <w:p w14:paraId="0F6BCED8">
      <w:pPr>
        <w:snapToGrid w:val="0"/>
        <w:rPr>
          <w:rFonts w:hint="eastAsia" w:ascii="宋体" w:hAnsi="宋体"/>
          <w:b/>
          <w:color w:val="auto"/>
          <w:sz w:val="30"/>
          <w:szCs w:val="30"/>
          <w:highlight w:val="none"/>
        </w:rPr>
      </w:pPr>
    </w:p>
    <w:p w14:paraId="66C668EA">
      <w:pPr>
        <w:snapToGrid w:val="0"/>
        <w:rPr>
          <w:rFonts w:hint="eastAsia" w:ascii="宋体" w:hAnsi="宋体"/>
          <w:b/>
          <w:color w:val="auto"/>
          <w:sz w:val="30"/>
          <w:szCs w:val="30"/>
          <w:highlight w:val="none"/>
        </w:rPr>
      </w:pPr>
    </w:p>
    <w:p w14:paraId="450EA4B7">
      <w:pPr>
        <w:snapToGrid w:val="0"/>
        <w:rPr>
          <w:rFonts w:hint="eastAsia" w:ascii="宋体" w:hAnsi="宋体"/>
          <w:b/>
          <w:color w:val="auto"/>
          <w:sz w:val="30"/>
          <w:szCs w:val="30"/>
          <w:highlight w:val="none"/>
        </w:rPr>
      </w:pPr>
    </w:p>
    <w:p w14:paraId="4958CD35">
      <w:pPr>
        <w:snapToGrid w:val="0"/>
        <w:rPr>
          <w:rFonts w:hint="eastAsia" w:ascii="宋体" w:hAnsi="宋体"/>
          <w:b/>
          <w:color w:val="auto"/>
          <w:sz w:val="30"/>
          <w:szCs w:val="30"/>
          <w:highlight w:val="none"/>
        </w:rPr>
      </w:pPr>
    </w:p>
    <w:p w14:paraId="0673ABEC">
      <w:pPr>
        <w:snapToGrid w:val="0"/>
        <w:rPr>
          <w:rFonts w:hint="eastAsia" w:ascii="宋体" w:hAnsi="宋体"/>
          <w:b/>
          <w:color w:val="auto"/>
          <w:sz w:val="30"/>
          <w:szCs w:val="30"/>
          <w:highlight w:val="none"/>
        </w:rPr>
      </w:pPr>
    </w:p>
    <w:p w14:paraId="6A8D6FD5">
      <w:pPr>
        <w:snapToGrid w:val="0"/>
        <w:rPr>
          <w:rFonts w:hint="eastAsia" w:ascii="宋体" w:hAnsi="宋体"/>
          <w:b/>
          <w:color w:val="auto"/>
          <w:sz w:val="30"/>
          <w:szCs w:val="30"/>
          <w:highlight w:val="none"/>
        </w:rPr>
      </w:pPr>
    </w:p>
    <w:p w14:paraId="0FE26491">
      <w:pPr>
        <w:snapToGrid w:val="0"/>
        <w:rPr>
          <w:rFonts w:hint="eastAsia" w:ascii="宋体" w:hAnsi="宋体"/>
          <w:b/>
          <w:color w:val="auto"/>
          <w:sz w:val="30"/>
          <w:szCs w:val="30"/>
          <w:highlight w:val="none"/>
        </w:rPr>
      </w:pPr>
    </w:p>
    <w:p w14:paraId="55DE6B6E">
      <w:pPr>
        <w:snapToGrid w:val="0"/>
        <w:rPr>
          <w:rFonts w:hint="eastAsia" w:ascii="宋体" w:hAnsi="宋体"/>
          <w:b/>
          <w:color w:val="auto"/>
          <w:sz w:val="30"/>
          <w:szCs w:val="30"/>
          <w:highlight w:val="none"/>
        </w:rPr>
      </w:pPr>
    </w:p>
    <w:p w14:paraId="73C6D36B">
      <w:pPr>
        <w:snapToGrid w:val="0"/>
        <w:rPr>
          <w:rFonts w:hint="eastAsia" w:ascii="宋体" w:hAnsi="宋体"/>
          <w:b/>
          <w:color w:val="auto"/>
          <w:sz w:val="30"/>
          <w:szCs w:val="30"/>
          <w:highlight w:val="none"/>
        </w:rPr>
      </w:pPr>
    </w:p>
    <w:p w14:paraId="15CA1F8C">
      <w:pPr>
        <w:snapToGrid w:val="0"/>
        <w:rPr>
          <w:rFonts w:hint="eastAsia" w:ascii="宋体" w:hAnsi="宋体"/>
          <w:b/>
          <w:color w:val="auto"/>
          <w:sz w:val="30"/>
          <w:szCs w:val="30"/>
          <w:highlight w:val="none"/>
        </w:rPr>
      </w:pPr>
    </w:p>
    <w:p w14:paraId="681937E9">
      <w:pPr>
        <w:snapToGrid w:val="0"/>
        <w:rPr>
          <w:rFonts w:hint="eastAsia" w:ascii="宋体" w:hAnsi="宋体"/>
          <w:b/>
          <w:color w:val="auto"/>
          <w:sz w:val="30"/>
          <w:szCs w:val="30"/>
          <w:highlight w:val="none"/>
        </w:rPr>
      </w:pPr>
      <w:r>
        <w:rPr>
          <w:rFonts w:hint="eastAsia" w:ascii="宋体" w:hAnsi="宋体"/>
          <w:b/>
          <w:color w:val="auto"/>
          <w:sz w:val="30"/>
          <w:szCs w:val="30"/>
          <w:highlight w:val="none"/>
        </w:rPr>
        <w:t>附件：</w:t>
      </w:r>
    </w:p>
    <w:p w14:paraId="0AF52B0F">
      <w:pPr>
        <w:snapToGrid w:val="0"/>
        <w:spacing w:before="120" w:beforeLines="50" w:after="50"/>
        <w:jc w:val="center"/>
        <w:rPr>
          <w:rFonts w:hint="eastAsia" w:ascii="宋体" w:hAnsi="宋体"/>
          <w:b/>
          <w:color w:val="auto"/>
          <w:sz w:val="24"/>
          <w:szCs w:val="20"/>
          <w:highlight w:val="none"/>
        </w:rPr>
      </w:pPr>
      <w:r>
        <w:rPr>
          <w:rFonts w:hint="eastAsia" w:ascii="宋体" w:hAnsi="宋体"/>
          <w:b/>
          <w:color w:val="auto"/>
          <w:sz w:val="24"/>
          <w:szCs w:val="20"/>
          <w:highlight w:val="none"/>
        </w:rPr>
        <w:t>投标函</w:t>
      </w:r>
    </w:p>
    <w:p w14:paraId="13DA9274">
      <w:pPr>
        <w:snapToGrid w:val="0"/>
        <w:spacing w:line="360" w:lineRule="auto"/>
        <w:rPr>
          <w:rFonts w:hint="eastAsia" w:ascii="宋体" w:hAnsi="宋体"/>
          <w:color w:val="auto"/>
          <w:sz w:val="24"/>
          <w:szCs w:val="20"/>
          <w:highlight w:val="none"/>
        </w:rPr>
      </w:pPr>
      <w:r>
        <w:rPr>
          <w:rFonts w:hint="eastAsia" w:ascii="宋体" w:hAnsi="宋体"/>
          <w:color w:val="auto"/>
          <w:sz w:val="24"/>
          <w:szCs w:val="20"/>
          <w:highlight w:val="none"/>
        </w:rPr>
        <w:t>致：</w:t>
      </w:r>
      <w:r>
        <w:rPr>
          <w:rFonts w:ascii="宋体" w:hAnsi="宋体"/>
          <w:color w:val="auto"/>
          <w:sz w:val="24"/>
          <w:szCs w:val="20"/>
          <w:highlight w:val="none"/>
        </w:rPr>
        <w:t>______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（采购人和采购代理机构名称）：</w:t>
      </w:r>
    </w:p>
    <w:p w14:paraId="30E74B3B">
      <w:pPr>
        <w:snapToGrid w:val="0"/>
        <w:spacing w:line="360" w:lineRule="auto"/>
        <w:ind w:firstLine="480"/>
        <w:rPr>
          <w:rFonts w:hint="eastAsia" w:ascii="宋体" w:hAnsi="宋体"/>
          <w:color w:val="auto"/>
          <w:sz w:val="24"/>
          <w:szCs w:val="20"/>
          <w:highlight w:val="none"/>
        </w:rPr>
      </w:pPr>
      <w:r>
        <w:rPr>
          <w:rFonts w:hint="eastAsia" w:ascii="宋体" w:hAnsi="宋体"/>
          <w:color w:val="auto"/>
          <w:sz w:val="24"/>
          <w:szCs w:val="20"/>
          <w:highlight w:val="none"/>
        </w:rPr>
        <w:t>根据贵方关于</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项目的招标公告</w:t>
      </w:r>
      <w:r>
        <w:rPr>
          <w:rFonts w:ascii="宋体" w:hAnsi="宋体"/>
          <w:color w:val="auto"/>
          <w:sz w:val="24"/>
          <w:szCs w:val="20"/>
          <w:highlight w:val="none"/>
        </w:rPr>
        <w:t>/</w:t>
      </w:r>
      <w:r>
        <w:rPr>
          <w:rFonts w:hint="eastAsia" w:ascii="宋体" w:hAnsi="宋体"/>
          <w:color w:val="auto"/>
          <w:sz w:val="24"/>
          <w:szCs w:val="20"/>
          <w:highlight w:val="none"/>
        </w:rPr>
        <w:t>投标邀请书（项目编号：</w:t>
      </w:r>
      <w:r>
        <w:rPr>
          <w:rFonts w:ascii="宋体" w:hAnsi="宋体"/>
          <w:color w:val="auto"/>
          <w:sz w:val="24"/>
          <w:szCs w:val="20"/>
          <w:highlight w:val="none"/>
        </w:rPr>
        <w:t>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），签字代表</w:t>
      </w:r>
      <w:r>
        <w:rPr>
          <w:rFonts w:ascii="宋体" w:hAnsi="宋体"/>
          <w:color w:val="auto"/>
          <w:sz w:val="24"/>
          <w:szCs w:val="20"/>
          <w:highlight w:val="none"/>
        </w:rPr>
        <w:t>______</w:t>
      </w:r>
      <w:r>
        <w:rPr>
          <w:rFonts w:ascii="宋体" w:hAnsi="宋体"/>
          <w:color w:val="auto"/>
          <w:sz w:val="24"/>
          <w:szCs w:val="20"/>
          <w:highlight w:val="none"/>
          <w:u w:val="single"/>
        </w:rPr>
        <w:t>_</w:t>
      </w:r>
      <w:r>
        <w:rPr>
          <w:rFonts w:hint="eastAsia" w:ascii="宋体" w:hAnsi="宋体"/>
          <w:color w:val="auto"/>
          <w:sz w:val="24"/>
          <w:szCs w:val="20"/>
          <w:highlight w:val="none"/>
        </w:rPr>
        <w:t>（全名）经正式授权并代表投标方</w:t>
      </w:r>
      <w:r>
        <w:rPr>
          <w:rFonts w:ascii="宋体" w:hAnsi="宋体"/>
          <w:color w:val="auto"/>
          <w:sz w:val="24"/>
          <w:szCs w:val="20"/>
          <w:highlight w:val="none"/>
        </w:rPr>
        <w:t>_____</w:t>
      </w:r>
      <w:r>
        <w:rPr>
          <w:rFonts w:ascii="宋体" w:hAnsi="宋体"/>
          <w:color w:val="auto"/>
          <w:sz w:val="24"/>
          <w:szCs w:val="20"/>
          <w:highlight w:val="none"/>
          <w:u w:val="single"/>
        </w:rPr>
        <w:t>____</w:t>
      </w:r>
      <w:r>
        <w:rPr>
          <w:rFonts w:hint="eastAsia" w:ascii="宋体" w:hAnsi="宋体"/>
          <w:color w:val="auto"/>
          <w:sz w:val="24"/>
          <w:szCs w:val="20"/>
          <w:highlight w:val="none"/>
        </w:rPr>
        <w:t>（投标方名称）提交资信</w:t>
      </w:r>
      <w:r>
        <w:rPr>
          <w:rFonts w:ascii="宋体" w:hAnsi="宋体"/>
          <w:color w:val="auto"/>
          <w:sz w:val="24"/>
          <w:szCs w:val="20"/>
          <w:highlight w:val="none"/>
        </w:rPr>
        <w:t>/</w:t>
      </w:r>
      <w:r>
        <w:rPr>
          <w:rFonts w:hint="eastAsia" w:ascii="宋体" w:hAnsi="宋体"/>
          <w:color w:val="auto"/>
          <w:sz w:val="24"/>
          <w:szCs w:val="20"/>
          <w:highlight w:val="none"/>
        </w:rPr>
        <w:t>商务文件、技术文件、报价文件。</w:t>
      </w:r>
    </w:p>
    <w:p w14:paraId="742A007F">
      <w:pPr>
        <w:snapToGrid w:val="0"/>
        <w:spacing w:line="360" w:lineRule="auto"/>
        <w:ind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据此函，签字代表宣布同意如下：</w:t>
      </w:r>
    </w:p>
    <w:p w14:paraId="2A714D07">
      <w:pPr>
        <w:snapToGrid w:val="0"/>
        <w:spacing w:line="360" w:lineRule="auto"/>
        <w:ind w:firstLine="480" w:firstLineChars="200"/>
        <w:rPr>
          <w:rFonts w:hint="eastAsia" w:ascii="宋体" w:hAnsi="宋体"/>
          <w:color w:val="auto"/>
          <w:sz w:val="24"/>
          <w:szCs w:val="20"/>
          <w:highlight w:val="none"/>
        </w:rPr>
      </w:pPr>
      <w:r>
        <w:rPr>
          <w:rFonts w:ascii="宋体" w:hAnsi="宋体"/>
          <w:color w:val="auto"/>
          <w:sz w:val="24"/>
          <w:szCs w:val="20"/>
          <w:highlight w:val="none"/>
        </w:rPr>
        <w:t>1</w:t>
      </w:r>
      <w:r>
        <w:rPr>
          <w:rFonts w:hint="eastAsia" w:ascii="宋体" w:hAnsi="宋体"/>
          <w:color w:val="auto"/>
          <w:sz w:val="24"/>
          <w:szCs w:val="20"/>
          <w:highlight w:val="none"/>
        </w:rPr>
        <w:t>.我方已详细审查“招标文件”的所有内容，包括澄清、修改文件（如果有）和所有已提供的参考资料以及有关附件，我方完全明白并认为此招标文件没有倾向性和排斥潜在投标人的内容，也不存在引起歧义和误解的内容，已经了解我方对于招标文件、采购过程、采购结果有依法进行询问、质疑、投诉的权利及相关渠道和要求，所以我方同意招标文件的相关条款，放弃对招标文件提出误解和质疑的一切权力。</w:t>
      </w:r>
    </w:p>
    <w:p w14:paraId="73AF999B">
      <w:pPr>
        <w:snapToGrid w:val="0"/>
        <w:spacing w:line="360" w:lineRule="auto"/>
        <w:ind w:firstLine="480" w:firstLineChars="200"/>
        <w:rPr>
          <w:rFonts w:hint="eastAsia" w:ascii="宋体" w:hAnsi="宋体"/>
          <w:color w:val="auto"/>
          <w:sz w:val="24"/>
          <w:szCs w:val="20"/>
          <w:highlight w:val="none"/>
        </w:rPr>
      </w:pPr>
      <w:r>
        <w:rPr>
          <w:rFonts w:ascii="宋体" w:hAnsi="宋体"/>
          <w:color w:val="auto"/>
          <w:sz w:val="24"/>
          <w:szCs w:val="20"/>
          <w:highlight w:val="none"/>
        </w:rPr>
        <w:t>2</w:t>
      </w:r>
      <w:r>
        <w:rPr>
          <w:rFonts w:hint="eastAsia" w:ascii="宋体" w:hAnsi="宋体"/>
          <w:color w:val="auto"/>
          <w:sz w:val="24"/>
          <w:szCs w:val="20"/>
          <w:highlight w:val="none"/>
        </w:rPr>
        <w:t>.我方在投标之前已经与贵方进行了充分的沟通，完全理解并接受招标文件的各项规定和要求，对招标文件的合理性、合法性不再有异议。</w:t>
      </w:r>
    </w:p>
    <w:p w14:paraId="03683BA1">
      <w:pPr>
        <w:snapToGrid w:val="0"/>
        <w:spacing w:line="360" w:lineRule="auto"/>
        <w:ind w:firstLine="480" w:firstLineChars="200"/>
        <w:rPr>
          <w:rFonts w:hint="eastAsia" w:ascii="宋体" w:hAnsi="宋体"/>
          <w:color w:val="auto"/>
          <w:sz w:val="24"/>
          <w:szCs w:val="20"/>
          <w:highlight w:val="none"/>
        </w:rPr>
      </w:pPr>
      <w:r>
        <w:rPr>
          <w:rFonts w:ascii="宋体" w:hAnsi="宋体"/>
          <w:color w:val="auto"/>
          <w:sz w:val="24"/>
          <w:szCs w:val="20"/>
          <w:highlight w:val="none"/>
        </w:rPr>
        <w:t>3</w:t>
      </w:r>
      <w:r>
        <w:rPr>
          <w:rFonts w:hint="eastAsia" w:ascii="宋体" w:hAnsi="宋体"/>
          <w:color w:val="auto"/>
          <w:sz w:val="24"/>
          <w:szCs w:val="20"/>
          <w:highlight w:val="none"/>
        </w:rPr>
        <w:t>.本投标有效期自开标日起</w:t>
      </w:r>
      <w:r>
        <w:rPr>
          <w:rFonts w:ascii="宋体" w:hAnsi="宋体"/>
          <w:color w:val="auto"/>
          <w:sz w:val="24"/>
          <w:szCs w:val="20"/>
          <w:highlight w:val="none"/>
        </w:rPr>
        <w:t>_</w:t>
      </w:r>
      <w:r>
        <w:rPr>
          <w:rFonts w:hint="eastAsia" w:ascii="宋体" w:hAnsi="宋体"/>
          <w:color w:val="auto"/>
          <w:sz w:val="24"/>
          <w:szCs w:val="20"/>
          <w:highlight w:val="none"/>
          <w:u w:val="single"/>
        </w:rPr>
        <w:t>120</w:t>
      </w:r>
      <w:r>
        <w:rPr>
          <w:rFonts w:hint="eastAsia" w:ascii="宋体" w:hAnsi="宋体"/>
          <w:color w:val="auto"/>
          <w:sz w:val="24"/>
          <w:szCs w:val="20"/>
          <w:highlight w:val="none"/>
        </w:rPr>
        <w:t>个日历天。</w:t>
      </w:r>
    </w:p>
    <w:p w14:paraId="6D3D6224">
      <w:pPr>
        <w:snapToGrid w:val="0"/>
        <w:spacing w:line="360" w:lineRule="auto"/>
        <w:ind w:firstLine="480" w:firstLineChars="200"/>
        <w:rPr>
          <w:rFonts w:hint="eastAsia" w:ascii="宋体" w:hAnsi="宋体"/>
          <w:color w:val="auto"/>
          <w:sz w:val="24"/>
          <w:szCs w:val="20"/>
          <w:highlight w:val="none"/>
        </w:rPr>
      </w:pPr>
      <w:r>
        <w:rPr>
          <w:rFonts w:ascii="宋体" w:hAnsi="宋体"/>
          <w:color w:val="auto"/>
          <w:sz w:val="24"/>
          <w:szCs w:val="20"/>
          <w:highlight w:val="none"/>
        </w:rPr>
        <w:t>4</w:t>
      </w:r>
      <w:r>
        <w:rPr>
          <w:rFonts w:hint="eastAsia" w:ascii="宋体" w:hAnsi="宋体"/>
          <w:color w:val="auto"/>
          <w:sz w:val="24"/>
          <w:szCs w:val="20"/>
          <w:highlight w:val="none"/>
        </w:rPr>
        <w:t>.如中标，本投标文件至本项目合同履行完毕止均保持有效，本投标方将按“招标文件”及政府采购法律、法规的规定履行合同责任和义务。</w:t>
      </w:r>
    </w:p>
    <w:p w14:paraId="23B40FAE">
      <w:pPr>
        <w:snapToGrid w:val="0"/>
        <w:spacing w:line="360" w:lineRule="auto"/>
        <w:ind w:firstLine="480" w:firstLineChars="200"/>
        <w:rPr>
          <w:rFonts w:hint="eastAsia" w:ascii="宋体" w:hAnsi="宋体"/>
          <w:color w:val="auto"/>
          <w:sz w:val="24"/>
          <w:szCs w:val="20"/>
          <w:highlight w:val="none"/>
        </w:rPr>
      </w:pPr>
      <w:r>
        <w:rPr>
          <w:rFonts w:ascii="宋体" w:hAnsi="宋体"/>
          <w:color w:val="auto"/>
          <w:sz w:val="24"/>
          <w:szCs w:val="20"/>
          <w:highlight w:val="none"/>
        </w:rPr>
        <w:t>5</w:t>
      </w:r>
      <w:r>
        <w:rPr>
          <w:rFonts w:hint="eastAsia" w:ascii="宋体" w:hAnsi="宋体"/>
          <w:color w:val="auto"/>
          <w:sz w:val="24"/>
          <w:szCs w:val="20"/>
          <w:highlight w:val="none"/>
        </w:rPr>
        <w:t>.投标方同意按照贵方要求提供与投标有关的一切数据或资料。</w:t>
      </w:r>
    </w:p>
    <w:p w14:paraId="055065AE">
      <w:pPr>
        <w:snapToGrid w:val="0"/>
        <w:spacing w:line="360" w:lineRule="auto"/>
        <w:ind w:firstLine="480" w:firstLineChars="200"/>
        <w:rPr>
          <w:rFonts w:hint="eastAsia" w:ascii="宋体" w:hAnsi="宋体"/>
          <w:color w:val="auto"/>
          <w:sz w:val="24"/>
          <w:szCs w:val="20"/>
          <w:highlight w:val="none"/>
        </w:rPr>
      </w:pPr>
      <w:r>
        <w:rPr>
          <w:rFonts w:ascii="宋体" w:hAnsi="宋体"/>
          <w:color w:val="auto"/>
          <w:sz w:val="24"/>
          <w:szCs w:val="20"/>
          <w:highlight w:val="none"/>
        </w:rPr>
        <w:t>6</w:t>
      </w:r>
      <w:r>
        <w:rPr>
          <w:rFonts w:hint="eastAsia" w:ascii="宋体" w:hAnsi="宋体"/>
          <w:color w:val="auto"/>
          <w:sz w:val="24"/>
          <w:szCs w:val="20"/>
          <w:highlight w:val="none"/>
        </w:rPr>
        <w:t>.与本投标有关的一切正式往来信函请寄：</w:t>
      </w:r>
    </w:p>
    <w:p w14:paraId="7A192A67">
      <w:pPr>
        <w:snapToGrid w:val="0"/>
        <w:spacing w:line="360" w:lineRule="auto"/>
        <w:rPr>
          <w:rFonts w:hint="eastAsia" w:ascii="宋体" w:hAnsi="宋体"/>
          <w:color w:val="auto"/>
          <w:sz w:val="24"/>
          <w:szCs w:val="20"/>
          <w:highlight w:val="none"/>
        </w:rPr>
      </w:pPr>
      <w:r>
        <w:rPr>
          <w:rFonts w:hint="eastAsia" w:ascii="宋体" w:hAnsi="宋体"/>
          <w:color w:val="auto"/>
          <w:sz w:val="24"/>
          <w:szCs w:val="20"/>
          <w:highlight w:val="none"/>
        </w:rPr>
        <w:t>地址：</w:t>
      </w:r>
      <w:r>
        <w:rPr>
          <w:rFonts w:ascii="宋体" w:hAnsi="宋体"/>
          <w:color w:val="auto"/>
          <w:sz w:val="24"/>
          <w:szCs w:val="20"/>
          <w:highlight w:val="none"/>
        </w:rPr>
        <w:t>__________</w:t>
      </w:r>
      <w:r>
        <w:rPr>
          <w:rFonts w:ascii="宋体" w:hAnsi="宋体"/>
          <w:color w:val="auto"/>
          <w:sz w:val="24"/>
          <w:szCs w:val="20"/>
          <w:highlight w:val="none"/>
          <w:u w:val="single"/>
        </w:rPr>
        <w:t>_</w:t>
      </w:r>
      <w:r>
        <w:rPr>
          <w:rFonts w:ascii="宋体" w:hAnsi="宋体"/>
          <w:color w:val="auto"/>
          <w:sz w:val="24"/>
          <w:szCs w:val="20"/>
          <w:highlight w:val="none"/>
        </w:rPr>
        <w:t>____</w:t>
      </w:r>
      <w:r>
        <w:rPr>
          <w:rFonts w:hint="eastAsia" w:ascii="宋体" w:hAnsi="宋体"/>
          <w:color w:val="auto"/>
          <w:sz w:val="24"/>
          <w:szCs w:val="20"/>
          <w:highlight w:val="none"/>
        </w:rPr>
        <w:t>邮编：</w:t>
      </w:r>
      <w:r>
        <w:rPr>
          <w:rFonts w:ascii="宋体" w:hAnsi="宋体"/>
          <w:color w:val="auto"/>
          <w:sz w:val="24"/>
          <w:szCs w:val="20"/>
          <w:highlight w:val="none"/>
        </w:rPr>
        <w:t>__________</w:t>
      </w:r>
      <w:r>
        <w:rPr>
          <w:rFonts w:hint="eastAsia" w:ascii="宋体" w:hAnsi="宋体"/>
          <w:color w:val="auto"/>
          <w:sz w:val="24"/>
          <w:szCs w:val="20"/>
          <w:highlight w:val="none"/>
        </w:rPr>
        <w:t>电话：</w:t>
      </w:r>
      <w:r>
        <w:rPr>
          <w:rFonts w:ascii="宋体" w:hAnsi="宋体"/>
          <w:color w:val="auto"/>
          <w:sz w:val="24"/>
          <w:szCs w:val="20"/>
          <w:highlight w:val="none"/>
        </w:rPr>
        <w:t>______________</w:t>
      </w:r>
    </w:p>
    <w:p w14:paraId="3339EB65">
      <w:pPr>
        <w:snapToGrid w:val="0"/>
        <w:spacing w:line="360" w:lineRule="auto"/>
        <w:rPr>
          <w:rFonts w:hint="eastAsia" w:ascii="宋体" w:hAnsi="宋体"/>
          <w:color w:val="auto"/>
          <w:sz w:val="24"/>
          <w:szCs w:val="20"/>
          <w:highlight w:val="none"/>
        </w:rPr>
      </w:pPr>
      <w:r>
        <w:rPr>
          <w:rFonts w:hint="eastAsia" w:ascii="宋体" w:hAnsi="宋体"/>
          <w:color w:val="auto"/>
          <w:sz w:val="24"/>
          <w:szCs w:val="20"/>
          <w:highlight w:val="none"/>
        </w:rPr>
        <w:t>传真：</w:t>
      </w:r>
      <w:r>
        <w:rPr>
          <w:rFonts w:ascii="宋体" w:hAnsi="宋体"/>
          <w:color w:val="auto"/>
          <w:sz w:val="24"/>
          <w:szCs w:val="20"/>
          <w:highlight w:val="none"/>
        </w:rPr>
        <w:t>______________</w:t>
      </w:r>
      <w:r>
        <w:rPr>
          <w:rFonts w:hint="eastAsia" w:ascii="宋体" w:hAnsi="宋体"/>
          <w:color w:val="auto"/>
          <w:sz w:val="24"/>
          <w:szCs w:val="20"/>
          <w:highlight w:val="none"/>
        </w:rPr>
        <w:t>投标方代表姓名</w:t>
      </w:r>
      <w:r>
        <w:rPr>
          <w:rFonts w:ascii="宋体" w:hAnsi="宋体"/>
          <w:color w:val="auto"/>
          <w:sz w:val="24"/>
          <w:szCs w:val="20"/>
          <w:highlight w:val="none"/>
        </w:rPr>
        <w:t>___________</w:t>
      </w:r>
      <w:r>
        <w:rPr>
          <w:rFonts w:hint="eastAsia" w:ascii="宋体" w:hAnsi="宋体"/>
          <w:color w:val="auto"/>
          <w:sz w:val="24"/>
          <w:szCs w:val="20"/>
          <w:highlight w:val="none"/>
        </w:rPr>
        <w:t>职务：</w:t>
      </w:r>
      <w:r>
        <w:rPr>
          <w:rFonts w:ascii="宋体" w:hAnsi="宋体"/>
          <w:color w:val="auto"/>
          <w:sz w:val="24"/>
          <w:szCs w:val="20"/>
          <w:highlight w:val="none"/>
        </w:rPr>
        <w:t>_____________</w:t>
      </w:r>
    </w:p>
    <w:p w14:paraId="56C0A820">
      <w:pPr>
        <w:snapToGrid w:val="0"/>
        <w:spacing w:line="360" w:lineRule="auto"/>
        <w:rPr>
          <w:rFonts w:hint="eastAsia" w:ascii="宋体" w:hAnsi="宋体"/>
          <w:color w:val="auto"/>
          <w:sz w:val="24"/>
          <w:szCs w:val="20"/>
          <w:highlight w:val="none"/>
        </w:rPr>
      </w:pPr>
      <w:r>
        <w:rPr>
          <w:rFonts w:hint="eastAsia" w:ascii="宋体" w:hAnsi="宋体"/>
          <w:color w:val="auto"/>
          <w:sz w:val="24"/>
          <w:szCs w:val="20"/>
          <w:highlight w:val="none"/>
        </w:rPr>
        <w:t>投标方名称</w:t>
      </w:r>
      <w:r>
        <w:rPr>
          <w:rFonts w:ascii="宋体" w:hAnsi="宋体"/>
          <w:color w:val="auto"/>
          <w:sz w:val="24"/>
          <w:szCs w:val="20"/>
          <w:highlight w:val="none"/>
        </w:rPr>
        <w:t>(</w:t>
      </w:r>
      <w:r>
        <w:rPr>
          <w:rFonts w:hint="eastAsia" w:ascii="宋体" w:hAnsi="宋体"/>
          <w:color w:val="auto"/>
          <w:sz w:val="24"/>
          <w:szCs w:val="20"/>
          <w:highlight w:val="none"/>
        </w:rPr>
        <w:t>公章</w:t>
      </w:r>
      <w:r>
        <w:rPr>
          <w:rFonts w:ascii="宋体" w:hAnsi="宋体"/>
          <w:color w:val="auto"/>
          <w:sz w:val="24"/>
          <w:szCs w:val="20"/>
          <w:highlight w:val="none"/>
        </w:rPr>
        <w:t>):___________________</w:t>
      </w:r>
    </w:p>
    <w:p w14:paraId="0047FD18">
      <w:pPr>
        <w:snapToGrid w:val="0"/>
        <w:spacing w:line="360" w:lineRule="auto"/>
        <w:rPr>
          <w:rFonts w:hint="eastAsia" w:ascii="宋体" w:hAnsi="宋体"/>
          <w:color w:val="auto"/>
          <w:sz w:val="24"/>
          <w:szCs w:val="20"/>
          <w:highlight w:val="none"/>
        </w:rPr>
      </w:pPr>
      <w:r>
        <w:rPr>
          <w:rFonts w:hint="eastAsia" w:ascii="宋体" w:hAnsi="宋体"/>
          <w:color w:val="auto"/>
          <w:sz w:val="24"/>
          <w:szCs w:val="20"/>
          <w:highlight w:val="none"/>
        </w:rPr>
        <w:t>开户银行：</w:t>
      </w:r>
      <w:r>
        <w:rPr>
          <w:rFonts w:ascii="宋体" w:hAnsi="宋体"/>
          <w:color w:val="auto"/>
          <w:sz w:val="24"/>
          <w:szCs w:val="20"/>
          <w:highlight w:val="none"/>
        </w:rPr>
        <w:t>___________</w:t>
      </w:r>
      <w:r>
        <w:rPr>
          <w:rFonts w:hint="eastAsia" w:ascii="宋体" w:hAnsi="宋体"/>
          <w:color w:val="auto"/>
          <w:sz w:val="24"/>
          <w:szCs w:val="20"/>
          <w:highlight w:val="none"/>
        </w:rPr>
        <w:t>银行帐号：</w:t>
      </w:r>
      <w:r>
        <w:rPr>
          <w:rFonts w:ascii="宋体" w:hAnsi="宋体"/>
          <w:color w:val="auto"/>
          <w:sz w:val="24"/>
          <w:szCs w:val="20"/>
          <w:highlight w:val="none"/>
        </w:rPr>
        <w:t>___________</w:t>
      </w:r>
    </w:p>
    <w:p w14:paraId="7D7B5C4E">
      <w:pPr>
        <w:snapToGrid w:val="0"/>
        <w:spacing w:line="360" w:lineRule="auto"/>
        <w:jc w:val="both"/>
        <w:rPr>
          <w:rFonts w:ascii="宋体" w:hAnsi="宋体"/>
          <w:color w:val="auto"/>
          <w:sz w:val="24"/>
          <w:szCs w:val="20"/>
          <w:highlight w:val="none"/>
        </w:rPr>
      </w:pPr>
      <w:r>
        <w:rPr>
          <w:rFonts w:hint="eastAsia" w:ascii="宋体" w:hAnsi="宋体"/>
          <w:color w:val="auto"/>
          <w:sz w:val="24"/>
          <w:szCs w:val="20"/>
          <w:highlight w:val="none"/>
        </w:rPr>
        <w:t>法定代表人签字或盖章</w:t>
      </w:r>
      <w:r>
        <w:rPr>
          <w:rFonts w:ascii="宋体" w:hAnsi="宋体"/>
          <w:color w:val="auto"/>
          <w:sz w:val="24"/>
          <w:szCs w:val="20"/>
          <w:highlight w:val="none"/>
        </w:rPr>
        <w:t>:___________</w:t>
      </w:r>
    </w:p>
    <w:p w14:paraId="353B7FCD">
      <w:pPr>
        <w:snapToGrid w:val="0"/>
        <w:spacing w:line="360" w:lineRule="auto"/>
        <w:jc w:val="both"/>
        <w:rPr>
          <w:rFonts w:hint="eastAsia" w:ascii="宋体" w:hAnsi="宋体"/>
          <w:color w:val="auto"/>
          <w:sz w:val="30"/>
          <w:szCs w:val="20"/>
          <w:highlight w:val="none"/>
        </w:rPr>
      </w:pPr>
      <w:r>
        <w:rPr>
          <w:rFonts w:hint="eastAsia" w:ascii="宋体" w:hAnsi="宋体"/>
          <w:color w:val="auto"/>
          <w:sz w:val="24"/>
          <w:szCs w:val="20"/>
          <w:highlight w:val="none"/>
        </w:rPr>
        <w:t>日期</w:t>
      </w:r>
      <w:r>
        <w:rPr>
          <w:rFonts w:ascii="宋体" w:hAnsi="宋体"/>
          <w:color w:val="auto"/>
          <w:sz w:val="24"/>
          <w:szCs w:val="20"/>
          <w:highlight w:val="none"/>
        </w:rPr>
        <w:t>:_____</w:t>
      </w:r>
      <w:r>
        <w:rPr>
          <w:rFonts w:hint="eastAsia" w:ascii="宋体" w:hAnsi="宋体"/>
          <w:color w:val="auto"/>
          <w:sz w:val="24"/>
          <w:szCs w:val="20"/>
          <w:highlight w:val="none"/>
        </w:rPr>
        <w:t>年</w:t>
      </w:r>
      <w:r>
        <w:rPr>
          <w:rFonts w:ascii="宋体" w:hAnsi="宋体"/>
          <w:color w:val="auto"/>
          <w:sz w:val="24"/>
          <w:szCs w:val="20"/>
          <w:highlight w:val="none"/>
        </w:rPr>
        <w:t>___</w:t>
      </w:r>
      <w:r>
        <w:rPr>
          <w:rFonts w:hint="eastAsia" w:ascii="宋体" w:hAnsi="宋体"/>
          <w:color w:val="auto"/>
          <w:sz w:val="24"/>
          <w:szCs w:val="20"/>
          <w:highlight w:val="none"/>
        </w:rPr>
        <w:t>月</w:t>
      </w:r>
      <w:r>
        <w:rPr>
          <w:rFonts w:ascii="宋体" w:hAnsi="宋体"/>
          <w:color w:val="auto"/>
          <w:sz w:val="24"/>
          <w:szCs w:val="20"/>
          <w:highlight w:val="none"/>
        </w:rPr>
        <w:t>___</w:t>
      </w:r>
      <w:r>
        <w:rPr>
          <w:rFonts w:hint="eastAsia" w:ascii="宋体" w:hAnsi="宋体"/>
          <w:color w:val="auto"/>
          <w:sz w:val="24"/>
          <w:szCs w:val="20"/>
          <w:highlight w:val="none"/>
        </w:rPr>
        <w:t>日</w:t>
      </w:r>
    </w:p>
    <w:p w14:paraId="3069F94E">
      <w:pPr>
        <w:snapToGrid w:val="0"/>
        <w:rPr>
          <w:rFonts w:hint="eastAsia" w:ascii="宋体" w:hAnsi="宋体"/>
          <w:color w:val="auto"/>
          <w:sz w:val="24"/>
          <w:highlight w:val="none"/>
        </w:rPr>
      </w:pPr>
    </w:p>
    <w:p w14:paraId="7E4B6CA9">
      <w:pPr>
        <w:spacing w:after="120" w:line="360" w:lineRule="auto"/>
        <w:rPr>
          <w:rFonts w:hint="eastAsia" w:ascii="宋体" w:hAnsi="宋体"/>
          <w:b/>
          <w:color w:val="auto"/>
          <w:sz w:val="24"/>
          <w:highlight w:val="none"/>
        </w:rPr>
      </w:pPr>
      <w:r>
        <w:rPr>
          <w:rFonts w:hint="eastAsia" w:ascii="宋体" w:hAnsi="宋体"/>
          <w:b/>
          <w:color w:val="auto"/>
          <w:sz w:val="24"/>
          <w:highlight w:val="none"/>
        </w:rPr>
        <w:t>注：投标函格式不得随意变更且内容如实填写完整，否则将可能导致投标文件无效。</w:t>
      </w:r>
    </w:p>
    <w:p w14:paraId="5CE399D8">
      <w:pPr>
        <w:snapToGrid w:val="0"/>
        <w:rPr>
          <w:rFonts w:hint="eastAsia" w:ascii="宋体" w:hAnsi="宋体"/>
          <w:b/>
          <w:color w:val="auto"/>
          <w:sz w:val="30"/>
          <w:szCs w:val="30"/>
          <w:highlight w:val="none"/>
        </w:rPr>
      </w:pPr>
    </w:p>
    <w:p w14:paraId="5113F5D9">
      <w:pPr>
        <w:snapToGrid w:val="0"/>
        <w:rPr>
          <w:rFonts w:hint="eastAsia" w:ascii="宋体" w:hAnsi="宋体"/>
          <w:b/>
          <w:color w:val="auto"/>
          <w:sz w:val="30"/>
          <w:szCs w:val="30"/>
          <w:highlight w:val="none"/>
        </w:rPr>
      </w:pPr>
      <w:r>
        <w:rPr>
          <w:rFonts w:hint="eastAsia" w:ascii="宋体" w:hAnsi="宋体"/>
          <w:b/>
          <w:color w:val="auto"/>
          <w:sz w:val="30"/>
          <w:szCs w:val="30"/>
          <w:highlight w:val="none"/>
        </w:rPr>
        <w:t>附件:</w:t>
      </w:r>
    </w:p>
    <w:p w14:paraId="402B2D89">
      <w:pPr>
        <w:spacing w:before="240" w:beforeLines="100" w:after="120" w:afterLines="50" w:line="400" w:lineRule="exact"/>
        <w:jc w:val="center"/>
        <w:rPr>
          <w:b/>
          <w:bCs/>
          <w:color w:val="auto"/>
          <w:sz w:val="30"/>
          <w:szCs w:val="20"/>
          <w:highlight w:val="none"/>
        </w:rPr>
      </w:pPr>
    </w:p>
    <w:p w14:paraId="29BD7407">
      <w:pPr>
        <w:spacing w:before="240" w:beforeLines="100" w:after="120" w:afterLines="50" w:line="400" w:lineRule="exact"/>
        <w:jc w:val="center"/>
        <w:rPr>
          <w:b/>
          <w:bCs/>
          <w:color w:val="auto"/>
          <w:sz w:val="24"/>
          <w:szCs w:val="20"/>
          <w:highlight w:val="none"/>
        </w:rPr>
      </w:pPr>
      <w:r>
        <w:rPr>
          <w:b/>
          <w:bCs/>
          <w:color w:val="auto"/>
          <w:sz w:val="30"/>
          <w:szCs w:val="20"/>
          <w:highlight w:val="none"/>
        </w:rPr>
        <w:t>开标一览表</w:t>
      </w:r>
    </w:p>
    <w:p w14:paraId="40E15141">
      <w:pPr>
        <w:tabs>
          <w:tab w:val="left" w:pos="4477"/>
        </w:tabs>
        <w:spacing w:line="400" w:lineRule="exact"/>
        <w:rPr>
          <w:color w:val="auto"/>
          <w:szCs w:val="20"/>
          <w:highlight w:val="none"/>
        </w:rPr>
      </w:pPr>
      <w:r>
        <w:rPr>
          <w:rFonts w:hint="eastAsia"/>
          <w:color w:val="auto"/>
          <w:highlight w:val="none"/>
        </w:rPr>
        <w:t>项目名称：                                               项目编号：</w:t>
      </w:r>
    </w:p>
    <w:tbl>
      <w:tblPr>
        <w:tblStyle w:val="17"/>
        <w:tblW w:w="1017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74"/>
        <w:gridCol w:w="1764"/>
        <w:gridCol w:w="2975"/>
        <w:gridCol w:w="1506"/>
        <w:gridCol w:w="1507"/>
        <w:gridCol w:w="1551"/>
      </w:tblGrid>
      <w:tr w14:paraId="3D27F5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60" w:hRule="atLeast"/>
          <w:jc w:val="center"/>
        </w:trPr>
        <w:tc>
          <w:tcPr>
            <w:tcW w:w="874" w:type="dxa"/>
            <w:vAlign w:val="center"/>
          </w:tcPr>
          <w:p w14:paraId="05FA194B">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4"/>
                <w:szCs w:val="20"/>
                <w:highlight w:val="none"/>
              </w:rPr>
            </w:pPr>
            <w:r>
              <w:rPr>
                <w:rFonts w:hint="eastAsia" w:ascii="宋体" w:hAnsi="宋体"/>
                <w:color w:val="auto"/>
                <w:sz w:val="24"/>
                <w:szCs w:val="20"/>
                <w:highlight w:val="none"/>
              </w:rPr>
              <w:t>序号</w:t>
            </w:r>
          </w:p>
        </w:tc>
        <w:tc>
          <w:tcPr>
            <w:tcW w:w="1764" w:type="dxa"/>
            <w:vAlign w:val="center"/>
          </w:tcPr>
          <w:p w14:paraId="57D288FA">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4"/>
                <w:szCs w:val="20"/>
                <w:highlight w:val="none"/>
              </w:rPr>
            </w:pPr>
            <w:r>
              <w:rPr>
                <w:rFonts w:hint="eastAsia" w:ascii="宋体" w:hAnsi="宋体"/>
                <w:color w:val="auto"/>
                <w:sz w:val="24"/>
                <w:szCs w:val="20"/>
                <w:highlight w:val="none"/>
              </w:rPr>
              <w:t>投标项目</w:t>
            </w:r>
          </w:p>
        </w:tc>
        <w:tc>
          <w:tcPr>
            <w:tcW w:w="2975" w:type="dxa"/>
            <w:vAlign w:val="center"/>
          </w:tcPr>
          <w:p w14:paraId="43E03E1B">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4"/>
                <w:szCs w:val="20"/>
                <w:highlight w:val="none"/>
              </w:rPr>
            </w:pPr>
            <w:r>
              <w:rPr>
                <w:rFonts w:hint="eastAsia" w:ascii="宋体" w:hAnsi="宋体"/>
                <w:color w:val="auto"/>
                <w:sz w:val="24"/>
                <w:szCs w:val="20"/>
                <w:highlight w:val="none"/>
              </w:rPr>
              <w:t>投标总价</w:t>
            </w:r>
          </w:p>
          <w:p w14:paraId="78AB29F4">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18"/>
                <w:szCs w:val="20"/>
                <w:highlight w:val="none"/>
              </w:rPr>
            </w:pPr>
            <w:r>
              <w:rPr>
                <w:rFonts w:hint="eastAsia" w:ascii="宋体" w:hAnsi="宋体"/>
                <w:color w:val="auto"/>
                <w:sz w:val="18"/>
                <w:szCs w:val="20"/>
                <w:highlight w:val="none"/>
              </w:rPr>
              <w:t>（</w:t>
            </w:r>
            <w:r>
              <w:rPr>
                <w:rFonts w:hint="default" w:ascii="宋体" w:hAnsi="宋体"/>
                <w:color w:val="auto"/>
                <w:sz w:val="18"/>
                <w:szCs w:val="20"/>
                <w:highlight w:val="none"/>
              </w:rPr>
              <w:t>人民币元）</w:t>
            </w:r>
          </w:p>
        </w:tc>
        <w:tc>
          <w:tcPr>
            <w:tcW w:w="1506" w:type="dxa"/>
            <w:vAlign w:val="center"/>
          </w:tcPr>
          <w:p w14:paraId="35265E8B">
            <w:pPr>
              <w:keepNext w:val="0"/>
              <w:keepLines w:val="0"/>
              <w:suppressLineNumbers w:val="0"/>
              <w:spacing w:before="0" w:beforeAutospacing="0" w:after="0" w:afterAutospacing="0" w:line="360" w:lineRule="auto"/>
              <w:ind w:left="0" w:right="-21" w:rightChars="-10"/>
              <w:jc w:val="center"/>
              <w:rPr>
                <w:rFonts w:hint="eastAsia" w:ascii="宋体" w:hAnsi="宋体" w:eastAsia="宋体"/>
                <w:color w:val="auto"/>
                <w:sz w:val="24"/>
                <w:szCs w:val="20"/>
                <w:highlight w:val="none"/>
                <w:lang w:eastAsia="zh-CN"/>
              </w:rPr>
            </w:pPr>
            <w:r>
              <w:rPr>
                <w:rFonts w:hint="eastAsia" w:ascii="宋体" w:hAnsi="宋体"/>
                <w:color w:val="auto"/>
                <w:sz w:val="24"/>
                <w:szCs w:val="20"/>
                <w:highlight w:val="none"/>
                <w:lang w:eastAsia="zh-CN"/>
              </w:rPr>
              <w:t>服务期</w:t>
            </w:r>
          </w:p>
        </w:tc>
        <w:tc>
          <w:tcPr>
            <w:tcW w:w="1507" w:type="dxa"/>
            <w:vAlign w:val="center"/>
          </w:tcPr>
          <w:p w14:paraId="3716D756">
            <w:pPr>
              <w:keepNext w:val="0"/>
              <w:keepLines w:val="0"/>
              <w:suppressLineNumbers w:val="0"/>
              <w:spacing w:before="0" w:beforeAutospacing="0" w:after="0" w:afterAutospacing="0" w:line="360" w:lineRule="auto"/>
              <w:ind w:left="0" w:right="-21" w:rightChars="-10"/>
              <w:jc w:val="center"/>
              <w:rPr>
                <w:rFonts w:hint="default" w:ascii="宋体" w:hAnsi="宋体"/>
                <w:color w:val="auto"/>
                <w:sz w:val="24"/>
                <w:szCs w:val="20"/>
                <w:highlight w:val="none"/>
                <w:lang w:val="en-US" w:eastAsia="zh-CN"/>
              </w:rPr>
            </w:pPr>
            <w:r>
              <w:rPr>
                <w:rFonts w:hint="eastAsia" w:ascii="宋体" w:hAnsi="宋体"/>
                <w:color w:val="auto"/>
                <w:sz w:val="24"/>
                <w:szCs w:val="20"/>
                <w:highlight w:val="none"/>
                <w:lang w:val="en-US" w:eastAsia="zh-CN"/>
              </w:rPr>
              <w:t>质保期</w:t>
            </w:r>
          </w:p>
        </w:tc>
        <w:tc>
          <w:tcPr>
            <w:tcW w:w="1551" w:type="dxa"/>
            <w:vAlign w:val="center"/>
          </w:tcPr>
          <w:p w14:paraId="49032EAB">
            <w:pPr>
              <w:keepNext w:val="0"/>
              <w:keepLines w:val="0"/>
              <w:suppressLineNumbers w:val="0"/>
              <w:spacing w:before="0" w:beforeAutospacing="0" w:after="0" w:afterAutospacing="0" w:line="360" w:lineRule="auto"/>
              <w:ind w:left="0" w:right="-21" w:rightChars="-10"/>
              <w:jc w:val="center"/>
              <w:rPr>
                <w:rFonts w:hint="default" w:ascii="宋体" w:hAnsi="宋体"/>
                <w:color w:val="auto"/>
                <w:sz w:val="24"/>
                <w:szCs w:val="20"/>
                <w:highlight w:val="none"/>
                <w:lang w:val="en-US" w:eastAsia="zh-CN"/>
              </w:rPr>
            </w:pPr>
            <w:r>
              <w:rPr>
                <w:rFonts w:hint="eastAsia" w:ascii="宋体" w:hAnsi="宋体"/>
                <w:color w:val="auto"/>
                <w:sz w:val="24"/>
                <w:szCs w:val="20"/>
                <w:highlight w:val="none"/>
                <w:lang w:val="en-US" w:eastAsia="zh-CN"/>
              </w:rPr>
              <w:t>备注</w:t>
            </w:r>
          </w:p>
        </w:tc>
      </w:tr>
      <w:tr w14:paraId="69E4FE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0" w:hRule="atLeast"/>
          <w:jc w:val="center"/>
        </w:trPr>
        <w:tc>
          <w:tcPr>
            <w:tcW w:w="874" w:type="dxa"/>
            <w:vAlign w:val="center"/>
          </w:tcPr>
          <w:p w14:paraId="79C2AB1B">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8"/>
                <w:szCs w:val="20"/>
                <w:highlight w:val="none"/>
              </w:rPr>
            </w:pPr>
            <w:r>
              <w:rPr>
                <w:rFonts w:hint="eastAsia" w:ascii="宋体" w:hAnsi="宋体"/>
                <w:color w:val="auto"/>
                <w:sz w:val="28"/>
                <w:szCs w:val="20"/>
                <w:highlight w:val="none"/>
              </w:rPr>
              <w:t>1</w:t>
            </w:r>
          </w:p>
        </w:tc>
        <w:tc>
          <w:tcPr>
            <w:tcW w:w="1764" w:type="dxa"/>
            <w:vAlign w:val="center"/>
          </w:tcPr>
          <w:p w14:paraId="3A2F1A81">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4"/>
                <w:highlight w:val="none"/>
              </w:rPr>
            </w:pPr>
          </w:p>
        </w:tc>
        <w:tc>
          <w:tcPr>
            <w:tcW w:w="2975" w:type="dxa"/>
            <w:vAlign w:val="center"/>
          </w:tcPr>
          <w:p w14:paraId="6F6DE9D5">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8"/>
                <w:szCs w:val="20"/>
                <w:highlight w:val="none"/>
              </w:rPr>
            </w:pPr>
          </w:p>
        </w:tc>
        <w:tc>
          <w:tcPr>
            <w:tcW w:w="1506" w:type="dxa"/>
          </w:tcPr>
          <w:p w14:paraId="45DFCECC">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8"/>
                <w:szCs w:val="20"/>
                <w:highlight w:val="none"/>
              </w:rPr>
            </w:pPr>
          </w:p>
        </w:tc>
        <w:tc>
          <w:tcPr>
            <w:tcW w:w="1507" w:type="dxa"/>
          </w:tcPr>
          <w:p w14:paraId="53C470EE">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8"/>
                <w:szCs w:val="20"/>
                <w:highlight w:val="none"/>
              </w:rPr>
            </w:pPr>
          </w:p>
        </w:tc>
        <w:tc>
          <w:tcPr>
            <w:tcW w:w="1551" w:type="dxa"/>
          </w:tcPr>
          <w:p w14:paraId="08279B8F">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8"/>
                <w:szCs w:val="20"/>
                <w:highlight w:val="none"/>
              </w:rPr>
            </w:pPr>
          </w:p>
        </w:tc>
      </w:tr>
      <w:tr w14:paraId="2134F4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0" w:hRule="atLeast"/>
          <w:jc w:val="center"/>
        </w:trPr>
        <w:tc>
          <w:tcPr>
            <w:tcW w:w="10177" w:type="dxa"/>
            <w:gridSpan w:val="6"/>
            <w:vAlign w:val="center"/>
          </w:tcPr>
          <w:p w14:paraId="7B7ED678">
            <w:pPr>
              <w:keepNext w:val="0"/>
              <w:keepLines w:val="0"/>
              <w:suppressLineNumbers w:val="0"/>
              <w:spacing w:before="0" w:beforeAutospacing="0" w:after="0" w:afterAutospacing="0" w:line="360" w:lineRule="auto"/>
              <w:ind w:left="99" w:leftChars="47" w:right="-21" w:rightChars="-10"/>
              <w:rPr>
                <w:rFonts w:hint="eastAsia" w:hAnsi="宋体"/>
                <w:color w:val="auto"/>
                <w:szCs w:val="20"/>
                <w:highlight w:val="none"/>
              </w:rPr>
            </w:pPr>
            <w:r>
              <w:rPr>
                <w:rFonts w:hint="eastAsia" w:hAnsi="宋体"/>
                <w:color w:val="auto"/>
                <w:szCs w:val="20"/>
                <w:highlight w:val="none"/>
              </w:rPr>
              <w:t xml:space="preserve">投标总价（大写）： </w:t>
            </w:r>
            <w:r>
              <w:rPr>
                <w:rFonts w:hint="default" w:hAnsi="宋体"/>
                <w:color w:val="auto"/>
                <w:szCs w:val="20"/>
                <w:highlight w:val="none"/>
              </w:rPr>
              <w:t xml:space="preserve">      </w:t>
            </w:r>
            <w:r>
              <w:rPr>
                <w:rFonts w:hint="default" w:ascii="Arial" w:hAnsi="Arial" w:cs="Arial"/>
                <w:color w:val="auto"/>
                <w:szCs w:val="20"/>
                <w:highlight w:val="none"/>
              </w:rPr>
              <w:t>¥</w:t>
            </w:r>
            <w:r>
              <w:rPr>
                <w:rFonts w:hint="eastAsia" w:hAnsi="宋体"/>
                <w:color w:val="auto"/>
                <w:szCs w:val="20"/>
                <w:highlight w:val="none"/>
              </w:rPr>
              <w:t>：</w:t>
            </w:r>
          </w:p>
        </w:tc>
      </w:tr>
    </w:tbl>
    <w:p w14:paraId="4E0E7DE6">
      <w:pPr>
        <w:snapToGrid w:val="0"/>
        <w:spacing w:before="50" w:after="50"/>
        <w:jc w:val="left"/>
        <w:rPr>
          <w:rFonts w:hint="eastAsia" w:ascii="宋体" w:hAnsi="宋体"/>
          <w:color w:val="auto"/>
          <w:sz w:val="24"/>
          <w:szCs w:val="20"/>
          <w:highlight w:val="none"/>
        </w:rPr>
      </w:pPr>
      <w:r>
        <w:rPr>
          <w:rFonts w:hint="eastAsia" w:ascii="宋体" w:hAnsi="宋体"/>
          <w:color w:val="auto"/>
          <w:sz w:val="24"/>
          <w:szCs w:val="20"/>
          <w:highlight w:val="none"/>
        </w:rPr>
        <w:t>注:1</w:t>
      </w:r>
      <w:r>
        <w:rPr>
          <w:rFonts w:hint="eastAsia" w:ascii="宋体" w:hAnsi="宋体"/>
          <w:color w:val="auto"/>
          <w:sz w:val="24"/>
          <w:szCs w:val="20"/>
          <w:highlight w:val="none"/>
          <w:lang w:eastAsia="zh-CN"/>
        </w:rPr>
        <w:t>、</w:t>
      </w:r>
      <w:r>
        <w:rPr>
          <w:rFonts w:hint="eastAsia" w:ascii="宋体" w:hAnsi="宋体"/>
          <w:color w:val="auto"/>
          <w:sz w:val="24"/>
          <w:szCs w:val="20"/>
          <w:highlight w:val="none"/>
        </w:rPr>
        <w:t>系统开标记录表与投标文件内容不一致的，以投标文件为准。</w:t>
      </w:r>
    </w:p>
    <w:p w14:paraId="399D5A57">
      <w:pPr>
        <w:snapToGrid w:val="0"/>
        <w:spacing w:before="50" w:after="50"/>
        <w:ind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2、以上报价应与“投标报价明细表”中的“投标总价”相一致。</w:t>
      </w:r>
    </w:p>
    <w:p w14:paraId="27A953F6">
      <w:pPr>
        <w:snapToGrid w:val="0"/>
        <w:spacing w:before="50" w:after="50"/>
        <w:ind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3、特别提醒：本表的报价内容不能出现在资信商务、技术投标文件中。</w:t>
      </w:r>
    </w:p>
    <w:p w14:paraId="7A5C5AFD">
      <w:pPr>
        <w:snapToGrid w:val="0"/>
        <w:spacing w:before="50" w:after="50"/>
        <w:ind w:left="-3" w:leftChars="-72" w:right="-817" w:rightChars="-389" w:hanging="148" w:hangingChars="62"/>
        <w:rPr>
          <w:rFonts w:hint="eastAsia" w:ascii="宋体" w:hAnsi="宋体"/>
          <w:color w:val="auto"/>
          <w:sz w:val="24"/>
          <w:szCs w:val="20"/>
          <w:highlight w:val="none"/>
        </w:rPr>
      </w:pPr>
    </w:p>
    <w:p w14:paraId="18FF6167">
      <w:pPr>
        <w:snapToGrid w:val="0"/>
        <w:spacing w:before="50" w:after="50"/>
        <w:ind w:left="-3" w:leftChars="-72" w:right="-817" w:rightChars="-389" w:hanging="148" w:hangingChars="62"/>
        <w:rPr>
          <w:rFonts w:hint="eastAsia" w:ascii="宋体" w:hAnsi="宋体"/>
          <w:color w:val="auto"/>
          <w:sz w:val="24"/>
          <w:szCs w:val="20"/>
          <w:highlight w:val="none"/>
        </w:rPr>
      </w:pPr>
      <w:r>
        <w:rPr>
          <w:rFonts w:hint="eastAsia" w:ascii="宋体" w:hAnsi="宋体"/>
          <w:color w:val="auto"/>
          <w:sz w:val="24"/>
          <w:szCs w:val="20"/>
          <w:highlight w:val="none"/>
        </w:rPr>
        <w:t>法定代表人（签字或盖章）：</w:t>
      </w:r>
    </w:p>
    <w:p w14:paraId="4B601C96">
      <w:pPr>
        <w:snapToGrid w:val="0"/>
        <w:spacing w:before="50" w:after="50"/>
        <w:ind w:right="-817" w:rightChars="-389"/>
        <w:rPr>
          <w:rFonts w:hint="eastAsia" w:ascii="宋体" w:hAnsi="宋体"/>
          <w:color w:val="auto"/>
          <w:sz w:val="24"/>
          <w:szCs w:val="20"/>
          <w:highlight w:val="none"/>
        </w:rPr>
      </w:pPr>
    </w:p>
    <w:p w14:paraId="510010E2">
      <w:pPr>
        <w:snapToGrid w:val="0"/>
        <w:spacing w:before="50" w:after="50"/>
        <w:ind w:left="-3" w:leftChars="-72" w:right="-817" w:rightChars="-389" w:hanging="148" w:hangingChars="62"/>
        <w:rPr>
          <w:rFonts w:hint="eastAsia" w:ascii="宋体" w:hAnsi="宋体"/>
          <w:color w:val="auto"/>
          <w:sz w:val="24"/>
          <w:szCs w:val="20"/>
          <w:highlight w:val="none"/>
        </w:rPr>
      </w:pPr>
      <w:r>
        <w:rPr>
          <w:rFonts w:hint="eastAsia" w:ascii="宋体" w:hAnsi="宋体"/>
          <w:color w:val="auto"/>
          <w:sz w:val="24"/>
          <w:szCs w:val="20"/>
          <w:highlight w:val="none"/>
        </w:rPr>
        <w:t>投标方名称（盖章）：</w:t>
      </w:r>
    </w:p>
    <w:p w14:paraId="485FE736">
      <w:pPr>
        <w:snapToGrid w:val="0"/>
        <w:spacing w:before="50" w:after="50"/>
        <w:ind w:left="-3" w:leftChars="-72" w:right="-817" w:rightChars="-389" w:hanging="148" w:hangingChars="62"/>
        <w:rPr>
          <w:rFonts w:hint="eastAsia" w:ascii="宋体" w:hAnsi="宋体"/>
          <w:color w:val="auto"/>
          <w:sz w:val="24"/>
          <w:szCs w:val="20"/>
          <w:highlight w:val="none"/>
        </w:rPr>
      </w:pPr>
    </w:p>
    <w:p w14:paraId="23FCFF91">
      <w:pPr>
        <w:snapToGrid w:val="0"/>
        <w:spacing w:before="50" w:after="50"/>
        <w:ind w:left="-3" w:leftChars="-72" w:right="-817" w:rightChars="-389" w:hanging="148" w:hangingChars="62"/>
        <w:rPr>
          <w:rFonts w:hint="eastAsia" w:ascii="宋体" w:hAnsi="宋体"/>
          <w:color w:val="auto"/>
          <w:sz w:val="24"/>
          <w:szCs w:val="20"/>
          <w:highlight w:val="none"/>
        </w:rPr>
      </w:pPr>
      <w:r>
        <w:rPr>
          <w:rFonts w:hint="eastAsia" w:ascii="宋体" w:hAnsi="宋体"/>
          <w:color w:val="auto"/>
          <w:sz w:val="24"/>
          <w:szCs w:val="20"/>
          <w:highlight w:val="none"/>
        </w:rPr>
        <w:t>日期：  年   月   日</w:t>
      </w:r>
    </w:p>
    <w:p w14:paraId="32CEAF8E">
      <w:pPr>
        <w:snapToGrid w:val="0"/>
        <w:rPr>
          <w:rFonts w:hint="eastAsia" w:ascii="宋体" w:hAnsi="宋体"/>
          <w:color w:val="auto"/>
          <w:sz w:val="24"/>
          <w:highlight w:val="none"/>
        </w:rPr>
      </w:pPr>
    </w:p>
    <w:p w14:paraId="03D8B9F7">
      <w:pPr>
        <w:snapToGrid w:val="0"/>
        <w:rPr>
          <w:rFonts w:hint="eastAsia" w:ascii="宋体" w:hAnsi="宋体"/>
          <w:color w:val="auto"/>
          <w:sz w:val="24"/>
          <w:highlight w:val="none"/>
        </w:rPr>
      </w:pPr>
    </w:p>
    <w:p w14:paraId="67106EA8">
      <w:pPr>
        <w:snapToGrid w:val="0"/>
        <w:rPr>
          <w:rFonts w:hint="eastAsia" w:ascii="宋体" w:hAnsi="宋体"/>
          <w:color w:val="auto"/>
          <w:sz w:val="24"/>
          <w:highlight w:val="none"/>
        </w:rPr>
      </w:pPr>
    </w:p>
    <w:p w14:paraId="6E470E40">
      <w:pPr>
        <w:snapToGrid w:val="0"/>
        <w:rPr>
          <w:rFonts w:hint="eastAsia" w:ascii="宋体" w:hAnsi="宋体"/>
          <w:color w:val="auto"/>
          <w:sz w:val="24"/>
          <w:highlight w:val="none"/>
        </w:rPr>
      </w:pPr>
    </w:p>
    <w:p w14:paraId="45772D2B">
      <w:pPr>
        <w:snapToGrid w:val="0"/>
        <w:rPr>
          <w:rFonts w:hint="eastAsia" w:ascii="宋体" w:hAnsi="宋体"/>
          <w:color w:val="auto"/>
          <w:sz w:val="24"/>
          <w:highlight w:val="none"/>
        </w:rPr>
      </w:pPr>
    </w:p>
    <w:p w14:paraId="2EB484BB">
      <w:pPr>
        <w:snapToGrid w:val="0"/>
        <w:rPr>
          <w:rFonts w:hint="eastAsia" w:ascii="宋体" w:hAnsi="宋体"/>
          <w:color w:val="auto"/>
          <w:sz w:val="24"/>
          <w:highlight w:val="none"/>
        </w:rPr>
      </w:pPr>
    </w:p>
    <w:p w14:paraId="410839E5">
      <w:pPr>
        <w:snapToGrid w:val="0"/>
        <w:rPr>
          <w:rFonts w:hint="eastAsia" w:ascii="宋体" w:hAnsi="宋体"/>
          <w:color w:val="auto"/>
          <w:sz w:val="24"/>
          <w:highlight w:val="none"/>
        </w:rPr>
      </w:pPr>
    </w:p>
    <w:p w14:paraId="642F747D">
      <w:pPr>
        <w:snapToGrid w:val="0"/>
        <w:rPr>
          <w:rFonts w:hint="eastAsia" w:ascii="宋体" w:hAnsi="宋体"/>
          <w:color w:val="auto"/>
          <w:sz w:val="24"/>
          <w:highlight w:val="none"/>
        </w:rPr>
      </w:pPr>
    </w:p>
    <w:p w14:paraId="378B2222">
      <w:pPr>
        <w:snapToGrid w:val="0"/>
        <w:rPr>
          <w:rFonts w:hint="eastAsia" w:ascii="宋体" w:hAnsi="宋体"/>
          <w:color w:val="auto"/>
          <w:sz w:val="24"/>
          <w:highlight w:val="none"/>
        </w:rPr>
      </w:pPr>
    </w:p>
    <w:p w14:paraId="5670C4E5">
      <w:pPr>
        <w:widowControl/>
        <w:jc w:val="left"/>
        <w:rPr>
          <w:rFonts w:hint="eastAsia" w:ascii="宋体" w:hAnsi="宋体"/>
          <w:color w:val="auto"/>
          <w:sz w:val="24"/>
          <w:szCs w:val="20"/>
          <w:highlight w:val="none"/>
        </w:rPr>
      </w:pPr>
    </w:p>
    <w:p w14:paraId="244E9AFD">
      <w:pPr>
        <w:pStyle w:val="8"/>
        <w:ind w:firstLine="280"/>
        <w:rPr>
          <w:color w:val="auto"/>
          <w:highlight w:val="none"/>
        </w:rPr>
      </w:pPr>
    </w:p>
    <w:p w14:paraId="767DE2A9">
      <w:pPr>
        <w:pStyle w:val="14"/>
        <w:rPr>
          <w:color w:val="auto"/>
          <w:highlight w:val="none"/>
        </w:rPr>
      </w:pPr>
    </w:p>
    <w:p w14:paraId="6622A1B6">
      <w:pPr>
        <w:rPr>
          <w:color w:val="auto"/>
          <w:highlight w:val="none"/>
        </w:rPr>
      </w:pPr>
    </w:p>
    <w:p w14:paraId="76145EE9">
      <w:pPr>
        <w:spacing w:line="400" w:lineRule="exact"/>
        <w:rPr>
          <w:rFonts w:hint="eastAsia" w:ascii="宋体" w:hAnsi="宋体"/>
          <w:b/>
          <w:color w:val="auto"/>
          <w:sz w:val="32"/>
          <w:szCs w:val="32"/>
          <w:highlight w:val="none"/>
        </w:rPr>
      </w:pPr>
    </w:p>
    <w:p w14:paraId="72E4CE2C">
      <w:pPr>
        <w:spacing w:line="400" w:lineRule="exact"/>
        <w:rPr>
          <w:rFonts w:hint="eastAsia" w:ascii="宋体" w:hAnsi="宋体"/>
          <w:b/>
          <w:color w:val="auto"/>
          <w:sz w:val="32"/>
          <w:szCs w:val="32"/>
          <w:highlight w:val="none"/>
        </w:rPr>
      </w:pPr>
    </w:p>
    <w:p w14:paraId="78221F55">
      <w:pPr>
        <w:spacing w:line="400" w:lineRule="exact"/>
        <w:rPr>
          <w:rFonts w:hint="eastAsia" w:ascii="宋体" w:hAnsi="宋体"/>
          <w:b/>
          <w:color w:val="auto"/>
          <w:sz w:val="32"/>
          <w:szCs w:val="32"/>
          <w:highlight w:val="none"/>
        </w:rPr>
      </w:pPr>
    </w:p>
    <w:p w14:paraId="30990271">
      <w:pPr>
        <w:spacing w:line="400" w:lineRule="exact"/>
        <w:rPr>
          <w:rFonts w:hint="eastAsia" w:ascii="宋体" w:hAnsi="宋体"/>
          <w:b/>
          <w:color w:val="auto"/>
          <w:sz w:val="32"/>
          <w:szCs w:val="32"/>
          <w:highlight w:val="none"/>
        </w:rPr>
      </w:pPr>
    </w:p>
    <w:p w14:paraId="7609B3F8">
      <w:pPr>
        <w:spacing w:line="400" w:lineRule="exact"/>
        <w:rPr>
          <w:rFonts w:hint="eastAsia" w:ascii="宋体" w:hAnsi="宋体"/>
          <w:b/>
          <w:color w:val="auto"/>
          <w:sz w:val="32"/>
          <w:szCs w:val="32"/>
          <w:highlight w:val="none"/>
        </w:rPr>
      </w:pPr>
    </w:p>
    <w:p w14:paraId="3A582741">
      <w:pPr>
        <w:spacing w:line="400" w:lineRule="exact"/>
        <w:rPr>
          <w:rFonts w:hint="eastAsia" w:ascii="宋体" w:hAnsi="宋体"/>
          <w:b/>
          <w:color w:val="auto"/>
          <w:sz w:val="32"/>
          <w:szCs w:val="32"/>
          <w:highlight w:val="none"/>
        </w:rPr>
      </w:pPr>
      <w:r>
        <w:rPr>
          <w:rFonts w:hint="eastAsia" w:ascii="宋体" w:hAnsi="宋体"/>
          <w:b/>
          <w:color w:val="auto"/>
          <w:sz w:val="32"/>
          <w:szCs w:val="32"/>
          <w:highlight w:val="none"/>
        </w:rPr>
        <w:t>附件：</w:t>
      </w:r>
    </w:p>
    <w:p w14:paraId="2ADC4C76">
      <w:pPr>
        <w:snapToGrid w:val="0"/>
        <w:jc w:val="center"/>
        <w:rPr>
          <w:rFonts w:ascii="宋体" w:hAnsi="Courier New"/>
          <w:b/>
          <w:bCs/>
          <w:color w:val="auto"/>
          <w:sz w:val="30"/>
          <w:highlight w:val="none"/>
        </w:rPr>
      </w:pPr>
      <w:r>
        <w:rPr>
          <w:rFonts w:hint="eastAsia" w:ascii="宋体" w:hAnsi="Courier New"/>
          <w:b/>
          <w:bCs/>
          <w:color w:val="auto"/>
          <w:sz w:val="30"/>
          <w:highlight w:val="none"/>
        </w:rPr>
        <w:t>投标报价明细表</w:t>
      </w:r>
    </w:p>
    <w:p w14:paraId="4F306549">
      <w:pPr>
        <w:spacing w:before="120" w:beforeLines="50" w:after="120" w:afterLines="50" w:line="400" w:lineRule="exact"/>
        <w:ind w:left="5250"/>
        <w:jc w:val="center"/>
        <w:rPr>
          <w:rFonts w:hint="eastAsia" w:ascii="宋体" w:hAnsi="宋体"/>
          <w:b/>
          <w:color w:val="auto"/>
          <w:sz w:val="30"/>
          <w:szCs w:val="30"/>
          <w:highlight w:val="none"/>
        </w:rPr>
      </w:pPr>
    </w:p>
    <w:p w14:paraId="421A78BD">
      <w:pPr>
        <w:spacing w:line="400" w:lineRule="exact"/>
        <w:rPr>
          <w:b/>
          <w:bCs/>
          <w:color w:val="auto"/>
          <w:sz w:val="24"/>
          <w:highlight w:val="none"/>
        </w:rPr>
      </w:pPr>
      <w:r>
        <w:rPr>
          <w:rFonts w:hint="eastAsia"/>
          <w:color w:val="auto"/>
          <w:sz w:val="24"/>
          <w:highlight w:val="none"/>
        </w:rPr>
        <w:t>项目名称：                                项目编号：</w:t>
      </w:r>
    </w:p>
    <w:tbl>
      <w:tblPr>
        <w:tblStyle w:val="17"/>
        <w:tblW w:w="10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980"/>
        <w:gridCol w:w="1980"/>
        <w:gridCol w:w="2221"/>
        <w:gridCol w:w="2078"/>
        <w:gridCol w:w="1387"/>
      </w:tblGrid>
      <w:tr w14:paraId="6BB9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588" w:type="dxa"/>
            <w:tcBorders>
              <w:top w:val="single" w:color="auto" w:sz="12" w:space="0"/>
              <w:left w:val="single" w:color="auto" w:sz="12" w:space="0"/>
              <w:bottom w:val="single" w:color="auto" w:sz="12" w:space="0"/>
            </w:tcBorders>
            <w:vAlign w:val="center"/>
          </w:tcPr>
          <w:p w14:paraId="5E09E87D">
            <w:pPr>
              <w:keepNext w:val="0"/>
              <w:keepLines w:val="0"/>
              <w:suppressLineNumbers w:val="0"/>
              <w:spacing w:before="0" w:beforeAutospacing="0" w:after="0" w:afterAutospacing="0"/>
              <w:ind w:left="0" w:right="-11"/>
              <w:jc w:val="center"/>
              <w:rPr>
                <w:rFonts w:hint="default"/>
                <w:b/>
                <w:bCs/>
                <w:color w:val="auto"/>
                <w:szCs w:val="21"/>
                <w:highlight w:val="none"/>
              </w:rPr>
            </w:pPr>
            <w:r>
              <w:rPr>
                <w:rFonts w:hint="eastAsia"/>
                <w:b/>
                <w:bCs/>
                <w:color w:val="auto"/>
                <w:szCs w:val="21"/>
                <w:highlight w:val="none"/>
              </w:rPr>
              <w:t>序号</w:t>
            </w:r>
          </w:p>
        </w:tc>
        <w:tc>
          <w:tcPr>
            <w:tcW w:w="1980" w:type="dxa"/>
            <w:tcBorders>
              <w:top w:val="single" w:color="auto" w:sz="12" w:space="0"/>
              <w:bottom w:val="single" w:color="auto" w:sz="12" w:space="0"/>
            </w:tcBorders>
            <w:vAlign w:val="center"/>
          </w:tcPr>
          <w:p w14:paraId="33B6F75D">
            <w:pPr>
              <w:keepNext w:val="0"/>
              <w:keepLines w:val="0"/>
              <w:suppressLineNumbers w:val="0"/>
              <w:spacing w:before="0" w:beforeAutospacing="0" w:after="0" w:afterAutospacing="0"/>
              <w:ind w:left="0" w:right="-11"/>
              <w:jc w:val="center"/>
              <w:rPr>
                <w:rFonts w:hint="default" w:eastAsia="宋体"/>
                <w:b/>
                <w:bCs/>
                <w:color w:val="auto"/>
                <w:szCs w:val="21"/>
                <w:highlight w:val="none"/>
                <w:lang w:val="en-US" w:eastAsia="zh-CN"/>
              </w:rPr>
            </w:pPr>
            <w:r>
              <w:rPr>
                <w:rFonts w:hint="eastAsia"/>
                <w:b/>
                <w:bCs/>
                <w:color w:val="auto"/>
                <w:szCs w:val="21"/>
                <w:highlight w:val="none"/>
                <w:lang w:val="en-US" w:eastAsia="zh-CN"/>
              </w:rPr>
              <w:t>品名</w:t>
            </w:r>
          </w:p>
        </w:tc>
        <w:tc>
          <w:tcPr>
            <w:tcW w:w="1980" w:type="dxa"/>
            <w:tcBorders>
              <w:top w:val="single" w:color="auto" w:sz="12" w:space="0"/>
              <w:bottom w:val="single" w:color="auto" w:sz="12" w:space="0"/>
            </w:tcBorders>
            <w:vAlign w:val="center"/>
          </w:tcPr>
          <w:p w14:paraId="1F4195CE">
            <w:pPr>
              <w:keepNext w:val="0"/>
              <w:keepLines w:val="0"/>
              <w:suppressLineNumbers w:val="0"/>
              <w:spacing w:before="0" w:beforeAutospacing="0" w:after="0" w:afterAutospacing="0"/>
              <w:ind w:left="0" w:right="-11"/>
              <w:jc w:val="center"/>
              <w:rPr>
                <w:rFonts w:hint="default" w:eastAsia="宋体"/>
                <w:b/>
                <w:bCs/>
                <w:color w:val="auto"/>
                <w:szCs w:val="21"/>
                <w:highlight w:val="none"/>
                <w:lang w:val="en-US" w:eastAsia="zh-CN"/>
              </w:rPr>
            </w:pPr>
            <w:r>
              <w:rPr>
                <w:rFonts w:hint="eastAsia"/>
                <w:b/>
                <w:bCs/>
                <w:color w:val="auto"/>
                <w:szCs w:val="21"/>
                <w:highlight w:val="none"/>
                <w:lang w:val="en-US" w:eastAsia="zh-CN"/>
              </w:rPr>
              <w:t>规格及尺寸</w:t>
            </w:r>
          </w:p>
        </w:tc>
        <w:tc>
          <w:tcPr>
            <w:tcW w:w="2221" w:type="dxa"/>
            <w:tcBorders>
              <w:top w:val="single" w:color="auto" w:sz="12" w:space="0"/>
              <w:bottom w:val="single" w:color="auto" w:sz="12" w:space="0"/>
            </w:tcBorders>
            <w:shd w:val="clear" w:color="auto" w:fill="auto"/>
            <w:vAlign w:val="center"/>
          </w:tcPr>
          <w:p w14:paraId="1B02FEB2">
            <w:pPr>
              <w:keepNext w:val="0"/>
              <w:keepLines w:val="0"/>
              <w:suppressLineNumbers w:val="0"/>
              <w:spacing w:before="0" w:beforeAutospacing="0" w:after="0" w:afterAutospacing="0"/>
              <w:ind w:left="0" w:right="-11"/>
              <w:jc w:val="center"/>
              <w:rPr>
                <w:rFonts w:hint="default"/>
                <w:color w:val="auto"/>
                <w:szCs w:val="21"/>
                <w:highlight w:val="none"/>
                <w:lang w:val="en-US"/>
              </w:rPr>
            </w:pPr>
            <w:r>
              <w:rPr>
                <w:rFonts w:hint="eastAsia"/>
                <w:b/>
                <w:bCs/>
                <w:color w:val="auto"/>
                <w:szCs w:val="21"/>
                <w:highlight w:val="none"/>
              </w:rPr>
              <w:t>数量</w:t>
            </w:r>
          </w:p>
        </w:tc>
        <w:tc>
          <w:tcPr>
            <w:tcW w:w="2078" w:type="dxa"/>
            <w:tcBorders>
              <w:top w:val="single" w:color="auto" w:sz="12" w:space="0"/>
              <w:bottom w:val="single" w:color="auto" w:sz="12" w:space="0"/>
            </w:tcBorders>
            <w:shd w:val="clear" w:color="auto" w:fill="auto"/>
            <w:vAlign w:val="center"/>
          </w:tcPr>
          <w:p w14:paraId="05B23E23">
            <w:pPr>
              <w:keepNext w:val="0"/>
              <w:keepLines w:val="0"/>
              <w:suppressLineNumbers w:val="0"/>
              <w:spacing w:before="0" w:beforeAutospacing="0" w:after="0" w:afterAutospacing="0"/>
              <w:ind w:left="0" w:right="-11"/>
              <w:jc w:val="center"/>
              <w:rPr>
                <w:rFonts w:hint="default"/>
                <w:b/>
                <w:bCs/>
                <w:color w:val="auto"/>
                <w:szCs w:val="21"/>
                <w:highlight w:val="none"/>
              </w:rPr>
            </w:pPr>
            <w:r>
              <w:rPr>
                <w:rFonts w:hint="eastAsia"/>
                <w:b/>
                <w:bCs/>
                <w:color w:val="auto"/>
                <w:szCs w:val="21"/>
                <w:highlight w:val="none"/>
              </w:rPr>
              <w:t>单价</w:t>
            </w:r>
          </w:p>
          <w:p w14:paraId="54B8BDC4">
            <w:pPr>
              <w:keepNext w:val="0"/>
              <w:keepLines w:val="0"/>
              <w:suppressLineNumbers w:val="0"/>
              <w:spacing w:before="0" w:beforeAutospacing="0" w:after="0" w:afterAutospacing="0"/>
              <w:ind w:left="0" w:right="-11"/>
              <w:jc w:val="center"/>
              <w:rPr>
                <w:rFonts w:hint="default"/>
                <w:color w:val="auto"/>
                <w:szCs w:val="21"/>
                <w:highlight w:val="none"/>
                <w:lang w:val="en-US"/>
              </w:rPr>
            </w:pPr>
            <w:r>
              <w:rPr>
                <w:rFonts w:hint="eastAsia"/>
                <w:b w:val="0"/>
                <w:bCs w:val="0"/>
                <w:color w:val="auto"/>
                <w:szCs w:val="21"/>
                <w:highlight w:val="none"/>
                <w:shd w:val="clear"/>
                <w:lang w:eastAsia="zh-CN"/>
              </w:rPr>
              <w:t>（</w:t>
            </w:r>
            <w:r>
              <w:rPr>
                <w:rFonts w:hint="eastAsia"/>
                <w:b w:val="0"/>
                <w:bCs w:val="0"/>
                <w:color w:val="auto"/>
                <w:szCs w:val="21"/>
                <w:highlight w:val="none"/>
                <w:shd w:val="clear"/>
              </w:rPr>
              <w:t>人民币元</w:t>
            </w:r>
            <w:r>
              <w:rPr>
                <w:rFonts w:hint="eastAsia"/>
                <w:b w:val="0"/>
                <w:bCs w:val="0"/>
                <w:color w:val="auto"/>
                <w:szCs w:val="21"/>
                <w:highlight w:val="none"/>
                <w:shd w:val="clear"/>
                <w:lang w:val="en-US" w:eastAsia="zh-CN"/>
              </w:rPr>
              <w:t>）</w:t>
            </w:r>
          </w:p>
        </w:tc>
        <w:tc>
          <w:tcPr>
            <w:tcW w:w="1387" w:type="dxa"/>
            <w:tcBorders>
              <w:top w:val="single" w:color="auto" w:sz="12" w:space="0"/>
              <w:bottom w:val="single" w:color="auto" w:sz="12" w:space="0"/>
              <w:right w:val="single" w:color="auto" w:sz="12" w:space="0"/>
            </w:tcBorders>
            <w:shd w:val="clear" w:color="auto" w:fill="auto"/>
            <w:vAlign w:val="center"/>
          </w:tcPr>
          <w:p w14:paraId="33191F9A">
            <w:pPr>
              <w:keepNext w:val="0"/>
              <w:keepLines w:val="0"/>
              <w:suppressLineNumbers w:val="0"/>
              <w:spacing w:before="0" w:beforeAutospacing="0" w:after="0" w:afterAutospacing="0"/>
              <w:ind w:left="0" w:right="-11"/>
              <w:jc w:val="center"/>
              <w:rPr>
                <w:rFonts w:hint="default"/>
                <w:b/>
                <w:bCs/>
                <w:color w:val="auto"/>
                <w:szCs w:val="21"/>
                <w:highlight w:val="none"/>
              </w:rPr>
            </w:pPr>
            <w:r>
              <w:rPr>
                <w:rFonts w:hint="eastAsia"/>
                <w:b/>
                <w:bCs/>
                <w:color w:val="auto"/>
                <w:szCs w:val="21"/>
                <w:highlight w:val="none"/>
              </w:rPr>
              <w:t>总价</w:t>
            </w:r>
          </w:p>
          <w:p w14:paraId="06BAD1C9">
            <w:pPr>
              <w:keepNext w:val="0"/>
              <w:keepLines w:val="0"/>
              <w:suppressLineNumbers w:val="0"/>
              <w:spacing w:before="0" w:beforeAutospacing="0" w:after="0" w:afterAutospacing="0"/>
              <w:ind w:left="0" w:right="-11"/>
              <w:jc w:val="center"/>
              <w:rPr>
                <w:rFonts w:hint="default"/>
                <w:b/>
                <w:bCs/>
                <w:color w:val="auto"/>
                <w:szCs w:val="21"/>
                <w:highlight w:val="none"/>
              </w:rPr>
            </w:pPr>
            <w:r>
              <w:rPr>
                <w:rFonts w:hint="eastAsia"/>
                <w:color w:val="auto"/>
                <w:szCs w:val="21"/>
                <w:highlight w:val="none"/>
              </w:rPr>
              <w:t>（人民币元）</w:t>
            </w:r>
          </w:p>
        </w:tc>
      </w:tr>
      <w:tr w14:paraId="165C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88" w:type="dxa"/>
            <w:tcBorders>
              <w:left w:val="single" w:color="auto" w:sz="12" w:space="0"/>
            </w:tcBorders>
            <w:vAlign w:val="center"/>
          </w:tcPr>
          <w:p w14:paraId="528537FA">
            <w:pPr>
              <w:keepNext w:val="0"/>
              <w:keepLines w:val="0"/>
              <w:suppressLineNumbers w:val="0"/>
              <w:spacing w:before="120" w:beforeLines="50" w:beforeAutospacing="0" w:after="120" w:afterLines="50" w:afterAutospacing="0"/>
              <w:ind w:left="0" w:right="-10"/>
              <w:jc w:val="center"/>
              <w:rPr>
                <w:rFonts w:hint="eastAsia"/>
                <w:color w:val="auto"/>
                <w:sz w:val="24"/>
                <w:highlight w:val="none"/>
                <w:lang w:val="en-US" w:eastAsia="zh-CN"/>
              </w:rPr>
            </w:pPr>
            <w:r>
              <w:rPr>
                <w:rFonts w:hint="eastAsia"/>
                <w:color w:val="auto"/>
                <w:sz w:val="24"/>
                <w:highlight w:val="none"/>
                <w:lang w:val="en-US" w:eastAsia="zh-CN"/>
              </w:rPr>
              <w:t>1</w:t>
            </w:r>
          </w:p>
        </w:tc>
        <w:tc>
          <w:tcPr>
            <w:tcW w:w="1980" w:type="dxa"/>
            <w:vAlign w:val="center"/>
          </w:tcPr>
          <w:p w14:paraId="12F53CB6">
            <w:pPr>
              <w:keepNext w:val="0"/>
              <w:keepLines w:val="0"/>
              <w:suppressLineNumbers w:val="0"/>
              <w:spacing w:before="120" w:beforeLines="50" w:beforeAutospacing="0" w:after="120" w:afterLines="50" w:afterAutospacing="0"/>
              <w:ind w:left="0" w:right="-10"/>
              <w:jc w:val="center"/>
              <w:rPr>
                <w:rFonts w:hint="eastAsia"/>
                <w:color w:val="auto"/>
                <w:sz w:val="24"/>
                <w:highlight w:val="none"/>
              </w:rPr>
            </w:pPr>
          </w:p>
        </w:tc>
        <w:tc>
          <w:tcPr>
            <w:tcW w:w="1980" w:type="dxa"/>
            <w:vAlign w:val="center"/>
          </w:tcPr>
          <w:p w14:paraId="1B7B1CD4">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221" w:type="dxa"/>
            <w:vAlign w:val="center"/>
          </w:tcPr>
          <w:p w14:paraId="30AA535D">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078" w:type="dxa"/>
            <w:vAlign w:val="center"/>
          </w:tcPr>
          <w:p w14:paraId="41F149E0">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387" w:type="dxa"/>
            <w:tcBorders>
              <w:right w:val="single" w:color="auto" w:sz="12" w:space="0"/>
            </w:tcBorders>
            <w:vAlign w:val="center"/>
          </w:tcPr>
          <w:p w14:paraId="2ECA9BAF">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r w14:paraId="01756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88" w:type="dxa"/>
            <w:tcBorders>
              <w:left w:val="single" w:color="auto" w:sz="12" w:space="0"/>
            </w:tcBorders>
            <w:vAlign w:val="center"/>
          </w:tcPr>
          <w:p w14:paraId="5573C6D7">
            <w:pPr>
              <w:keepNext w:val="0"/>
              <w:keepLines w:val="0"/>
              <w:suppressLineNumbers w:val="0"/>
              <w:spacing w:before="120" w:beforeLines="50" w:beforeAutospacing="0" w:after="120" w:afterLines="50" w:afterAutospacing="0"/>
              <w:ind w:left="0" w:right="-10"/>
              <w:jc w:val="center"/>
              <w:rPr>
                <w:rFonts w:hint="eastAsia"/>
                <w:color w:val="auto"/>
                <w:sz w:val="24"/>
                <w:highlight w:val="none"/>
                <w:lang w:val="en-US" w:eastAsia="zh-CN"/>
              </w:rPr>
            </w:pPr>
            <w:r>
              <w:rPr>
                <w:rFonts w:hint="eastAsia"/>
                <w:color w:val="auto"/>
                <w:sz w:val="24"/>
                <w:highlight w:val="none"/>
                <w:lang w:val="en-US" w:eastAsia="zh-CN"/>
              </w:rPr>
              <w:t>2</w:t>
            </w:r>
          </w:p>
        </w:tc>
        <w:tc>
          <w:tcPr>
            <w:tcW w:w="1980" w:type="dxa"/>
            <w:vAlign w:val="center"/>
          </w:tcPr>
          <w:p w14:paraId="5AB54455">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980" w:type="dxa"/>
            <w:vAlign w:val="center"/>
          </w:tcPr>
          <w:p w14:paraId="482F4581">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221" w:type="dxa"/>
            <w:vAlign w:val="center"/>
          </w:tcPr>
          <w:p w14:paraId="0089CDC7">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078" w:type="dxa"/>
            <w:vAlign w:val="center"/>
          </w:tcPr>
          <w:p w14:paraId="58FD8BE8">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387" w:type="dxa"/>
            <w:tcBorders>
              <w:right w:val="single" w:color="auto" w:sz="12" w:space="0"/>
            </w:tcBorders>
            <w:vAlign w:val="center"/>
          </w:tcPr>
          <w:p w14:paraId="34E3AF06">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r w14:paraId="3C68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88" w:type="dxa"/>
            <w:tcBorders>
              <w:left w:val="single" w:color="auto" w:sz="12" w:space="0"/>
            </w:tcBorders>
            <w:vAlign w:val="center"/>
          </w:tcPr>
          <w:p w14:paraId="23881DB7">
            <w:pPr>
              <w:keepNext w:val="0"/>
              <w:keepLines w:val="0"/>
              <w:suppressLineNumbers w:val="0"/>
              <w:spacing w:before="120" w:beforeLines="50" w:beforeAutospacing="0" w:after="120" w:afterLines="50" w:afterAutospacing="0"/>
              <w:ind w:left="0" w:right="-10"/>
              <w:jc w:val="center"/>
              <w:rPr>
                <w:rFonts w:hint="eastAsia"/>
                <w:color w:val="auto"/>
                <w:sz w:val="24"/>
                <w:highlight w:val="none"/>
                <w:lang w:val="en-US" w:eastAsia="zh-CN"/>
              </w:rPr>
            </w:pPr>
            <w:r>
              <w:rPr>
                <w:rFonts w:hint="eastAsia"/>
                <w:color w:val="auto"/>
                <w:sz w:val="24"/>
                <w:highlight w:val="none"/>
                <w:lang w:val="en-US" w:eastAsia="zh-CN"/>
              </w:rPr>
              <w:t>3</w:t>
            </w:r>
          </w:p>
        </w:tc>
        <w:tc>
          <w:tcPr>
            <w:tcW w:w="1980" w:type="dxa"/>
            <w:vAlign w:val="center"/>
          </w:tcPr>
          <w:p w14:paraId="7B99393B">
            <w:pPr>
              <w:keepNext w:val="0"/>
              <w:keepLines w:val="0"/>
              <w:suppressLineNumbers w:val="0"/>
              <w:spacing w:before="120" w:beforeLines="50" w:beforeAutospacing="0" w:after="120" w:afterLines="50" w:afterAutospacing="0"/>
              <w:ind w:left="0" w:right="-10"/>
              <w:jc w:val="center"/>
              <w:rPr>
                <w:rFonts w:hint="eastAsia"/>
                <w:color w:val="auto"/>
                <w:sz w:val="24"/>
                <w:highlight w:val="none"/>
              </w:rPr>
            </w:pPr>
          </w:p>
        </w:tc>
        <w:tc>
          <w:tcPr>
            <w:tcW w:w="1980" w:type="dxa"/>
            <w:vAlign w:val="center"/>
          </w:tcPr>
          <w:p w14:paraId="76EE6CB8">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221" w:type="dxa"/>
            <w:vAlign w:val="center"/>
          </w:tcPr>
          <w:p w14:paraId="37912A43">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078" w:type="dxa"/>
            <w:vAlign w:val="center"/>
          </w:tcPr>
          <w:p w14:paraId="236AC31B">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387" w:type="dxa"/>
            <w:tcBorders>
              <w:right w:val="single" w:color="auto" w:sz="12" w:space="0"/>
            </w:tcBorders>
            <w:vAlign w:val="center"/>
          </w:tcPr>
          <w:p w14:paraId="7498D9C4">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r w14:paraId="33B5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88" w:type="dxa"/>
            <w:tcBorders>
              <w:left w:val="single" w:color="auto" w:sz="12" w:space="0"/>
            </w:tcBorders>
            <w:vAlign w:val="center"/>
          </w:tcPr>
          <w:p w14:paraId="14FA488F">
            <w:pPr>
              <w:keepNext w:val="0"/>
              <w:keepLines w:val="0"/>
              <w:suppressLineNumbers w:val="0"/>
              <w:spacing w:before="120" w:beforeLines="50" w:beforeAutospacing="0" w:after="120" w:afterLines="50" w:afterAutospacing="0"/>
              <w:ind w:left="0" w:right="-10"/>
              <w:jc w:val="center"/>
              <w:rPr>
                <w:rFonts w:hint="default" w:eastAsia="宋体"/>
                <w:color w:val="auto"/>
                <w:sz w:val="24"/>
                <w:highlight w:val="none"/>
                <w:lang w:val="en-US" w:eastAsia="zh-CN"/>
              </w:rPr>
            </w:pPr>
            <w:r>
              <w:rPr>
                <w:rFonts w:hint="eastAsia"/>
                <w:color w:val="auto"/>
                <w:sz w:val="24"/>
                <w:highlight w:val="none"/>
                <w:lang w:val="en-US" w:eastAsia="zh-CN"/>
              </w:rPr>
              <w:t>...</w:t>
            </w:r>
          </w:p>
        </w:tc>
        <w:tc>
          <w:tcPr>
            <w:tcW w:w="1980" w:type="dxa"/>
            <w:vAlign w:val="center"/>
          </w:tcPr>
          <w:p w14:paraId="5A8F6AA4">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980" w:type="dxa"/>
            <w:vAlign w:val="center"/>
          </w:tcPr>
          <w:p w14:paraId="613F3EE9">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221" w:type="dxa"/>
            <w:vAlign w:val="center"/>
          </w:tcPr>
          <w:p w14:paraId="5D1B620B">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078" w:type="dxa"/>
            <w:vAlign w:val="center"/>
          </w:tcPr>
          <w:p w14:paraId="427EAA19">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387" w:type="dxa"/>
            <w:tcBorders>
              <w:right w:val="single" w:color="auto" w:sz="12" w:space="0"/>
            </w:tcBorders>
            <w:vAlign w:val="center"/>
          </w:tcPr>
          <w:p w14:paraId="6207C44E">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r w14:paraId="350F5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88" w:type="dxa"/>
            <w:tcBorders>
              <w:left w:val="single" w:color="auto" w:sz="12" w:space="0"/>
            </w:tcBorders>
            <w:vAlign w:val="center"/>
          </w:tcPr>
          <w:p w14:paraId="050B8435">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980" w:type="dxa"/>
            <w:vAlign w:val="center"/>
          </w:tcPr>
          <w:p w14:paraId="42E70509">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980" w:type="dxa"/>
            <w:vAlign w:val="center"/>
          </w:tcPr>
          <w:p w14:paraId="0022560A">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221" w:type="dxa"/>
            <w:vAlign w:val="center"/>
          </w:tcPr>
          <w:p w14:paraId="01215697">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078" w:type="dxa"/>
            <w:vAlign w:val="center"/>
          </w:tcPr>
          <w:p w14:paraId="796EB769">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387" w:type="dxa"/>
            <w:tcBorders>
              <w:right w:val="single" w:color="auto" w:sz="12" w:space="0"/>
            </w:tcBorders>
            <w:vAlign w:val="center"/>
          </w:tcPr>
          <w:p w14:paraId="06250173">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r w14:paraId="0C0D8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4548" w:type="dxa"/>
            <w:gridSpan w:val="3"/>
            <w:tcBorders>
              <w:left w:val="single" w:color="auto" w:sz="12" w:space="0"/>
              <w:bottom w:val="single" w:color="auto" w:sz="12" w:space="0"/>
            </w:tcBorders>
          </w:tcPr>
          <w:p w14:paraId="4FCDF68A">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r>
              <w:rPr>
                <w:rFonts w:hint="eastAsia"/>
                <w:color w:val="auto"/>
                <w:sz w:val="24"/>
                <w:highlight w:val="none"/>
              </w:rPr>
              <w:t>服务总价（元）</w:t>
            </w:r>
          </w:p>
        </w:tc>
        <w:tc>
          <w:tcPr>
            <w:tcW w:w="5686" w:type="dxa"/>
            <w:gridSpan w:val="3"/>
            <w:tcBorders>
              <w:bottom w:val="single" w:color="auto" w:sz="12" w:space="0"/>
              <w:right w:val="single" w:color="auto" w:sz="12" w:space="0"/>
            </w:tcBorders>
          </w:tcPr>
          <w:p w14:paraId="5192D864">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r w14:paraId="0BC2B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4548" w:type="dxa"/>
            <w:gridSpan w:val="3"/>
            <w:tcBorders>
              <w:left w:val="single" w:color="auto" w:sz="12" w:space="0"/>
            </w:tcBorders>
          </w:tcPr>
          <w:p w14:paraId="3C4A7AE7">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r>
              <w:rPr>
                <w:rFonts w:hint="eastAsia"/>
                <w:color w:val="auto"/>
                <w:sz w:val="24"/>
                <w:highlight w:val="none"/>
              </w:rPr>
              <w:t>其它相关费用（元）</w:t>
            </w:r>
          </w:p>
        </w:tc>
        <w:tc>
          <w:tcPr>
            <w:tcW w:w="5686" w:type="dxa"/>
            <w:gridSpan w:val="3"/>
            <w:tcBorders>
              <w:right w:val="single" w:color="auto" w:sz="12" w:space="0"/>
            </w:tcBorders>
          </w:tcPr>
          <w:p w14:paraId="4C24611A">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r w14:paraId="7C6A2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4548" w:type="dxa"/>
            <w:gridSpan w:val="3"/>
            <w:tcBorders>
              <w:left w:val="single" w:color="auto" w:sz="12" w:space="0"/>
              <w:bottom w:val="single" w:color="auto" w:sz="12" w:space="0"/>
            </w:tcBorders>
          </w:tcPr>
          <w:p w14:paraId="3859CEA4">
            <w:pPr>
              <w:keepNext w:val="0"/>
              <w:keepLines w:val="0"/>
              <w:suppressLineNumbers w:val="0"/>
              <w:spacing w:before="120" w:beforeLines="50" w:beforeAutospacing="0" w:after="120" w:afterLines="50" w:afterAutospacing="0"/>
              <w:ind w:left="0" w:right="-10"/>
              <w:rPr>
                <w:rFonts w:hint="default"/>
                <w:color w:val="auto"/>
                <w:sz w:val="24"/>
                <w:highlight w:val="none"/>
              </w:rPr>
            </w:pPr>
            <w:r>
              <w:rPr>
                <w:rFonts w:hint="eastAsia"/>
                <w:color w:val="auto"/>
                <w:sz w:val="24"/>
                <w:highlight w:val="none"/>
              </w:rPr>
              <w:t>合计总价（元）</w:t>
            </w:r>
            <w:r>
              <w:rPr>
                <w:rFonts w:hint="eastAsia" w:eastAsia="楷体_GB2312"/>
                <w:color w:val="auto"/>
                <w:sz w:val="24"/>
                <w:highlight w:val="none"/>
              </w:rPr>
              <w:t>（应与开标一览表中投标总价相一致）</w:t>
            </w:r>
          </w:p>
        </w:tc>
        <w:tc>
          <w:tcPr>
            <w:tcW w:w="5686" w:type="dxa"/>
            <w:gridSpan w:val="3"/>
            <w:tcBorders>
              <w:bottom w:val="single" w:color="auto" w:sz="12" w:space="0"/>
              <w:right w:val="single" w:color="auto" w:sz="12" w:space="0"/>
            </w:tcBorders>
          </w:tcPr>
          <w:p w14:paraId="3CD23E4A">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bl>
    <w:p w14:paraId="5DADBAE6">
      <w:pPr>
        <w:snapToGrid w:val="0"/>
        <w:spacing w:before="120" w:beforeLines="50" w:after="50"/>
        <w:jc w:val="left"/>
        <w:rPr>
          <w:rFonts w:hint="eastAsia" w:ascii="宋体" w:hAnsi="宋体" w:cs="微软雅黑"/>
          <w:b/>
          <w:bCs/>
          <w:color w:val="auto"/>
          <w:szCs w:val="21"/>
          <w:highlight w:val="none"/>
        </w:rPr>
      </w:pPr>
      <w:r>
        <w:rPr>
          <w:rFonts w:hint="eastAsia" w:ascii="宋体" w:hAnsi="宋体" w:cs="微软雅黑"/>
          <w:b/>
          <w:bCs/>
          <w:color w:val="auto"/>
          <w:szCs w:val="21"/>
          <w:highlight w:val="none"/>
        </w:rPr>
        <w:t>注：</w:t>
      </w:r>
    </w:p>
    <w:p w14:paraId="675D2A2A">
      <w:pPr>
        <w:widowControl/>
        <w:jc w:val="left"/>
        <w:rPr>
          <w:rFonts w:hint="eastAsia" w:ascii="宋体" w:hAnsi="宋体" w:cs="宋体"/>
          <w:b/>
          <w:bCs/>
          <w:color w:val="auto"/>
          <w:kern w:val="0"/>
          <w:sz w:val="24"/>
          <w:highlight w:val="none"/>
          <w:u w:val="single"/>
        </w:rPr>
      </w:pPr>
      <w:r>
        <w:rPr>
          <w:rFonts w:hint="eastAsia" w:ascii="宋体" w:hAnsi="宋体" w:cs="宋体"/>
          <w:b/>
          <w:bCs/>
          <w:color w:val="auto"/>
          <w:kern w:val="0"/>
          <w:sz w:val="24"/>
          <w:highlight w:val="none"/>
          <w:u w:val="single"/>
        </w:rPr>
        <w:t>1、投标方在填报投标报价明细表时应按照采购清单内容逐项报价，不得随意更改序号、项目名称、单位、数量，否则有可能被视为无效投标。</w:t>
      </w:r>
    </w:p>
    <w:p w14:paraId="230A5A76">
      <w:pPr>
        <w:spacing w:line="300" w:lineRule="exact"/>
        <w:rPr>
          <w:rFonts w:hint="eastAsia" w:ascii="宋体" w:hAnsi="宋体" w:cs="微软雅黑"/>
          <w:color w:val="auto"/>
          <w:szCs w:val="21"/>
          <w:highlight w:val="none"/>
        </w:rPr>
      </w:pPr>
      <w:r>
        <w:rPr>
          <w:rFonts w:ascii="宋体" w:hAnsi="宋体" w:cs="微软雅黑"/>
          <w:color w:val="auto"/>
          <w:szCs w:val="21"/>
          <w:highlight w:val="none"/>
        </w:rPr>
        <w:t>2</w:t>
      </w:r>
      <w:r>
        <w:rPr>
          <w:rFonts w:hint="eastAsia" w:ascii="宋体" w:hAnsi="宋体" w:cs="微软雅黑"/>
          <w:color w:val="auto"/>
          <w:szCs w:val="21"/>
          <w:highlight w:val="none"/>
        </w:rPr>
        <w:t>、投标报价明细表中合计总价应与开标一览表中的相应报价相一致，不一致时，以开标一览表报价为准。</w:t>
      </w:r>
    </w:p>
    <w:p w14:paraId="143F1075">
      <w:pPr>
        <w:spacing w:line="300" w:lineRule="exact"/>
        <w:rPr>
          <w:rFonts w:hint="eastAsia" w:ascii="宋体" w:hAnsi="宋体" w:cs="宋体"/>
          <w:b/>
          <w:bCs/>
          <w:color w:val="auto"/>
          <w:kern w:val="0"/>
          <w:sz w:val="24"/>
          <w:highlight w:val="none"/>
          <w:u w:val="single"/>
        </w:rPr>
      </w:pPr>
      <w:r>
        <w:rPr>
          <w:rFonts w:ascii="宋体" w:hAnsi="宋体" w:cs="宋体"/>
          <w:b/>
          <w:bCs/>
          <w:color w:val="auto"/>
          <w:kern w:val="0"/>
          <w:sz w:val="24"/>
          <w:highlight w:val="none"/>
          <w:u w:val="single"/>
        </w:rPr>
        <w:t>3</w:t>
      </w:r>
      <w:r>
        <w:rPr>
          <w:rFonts w:hint="eastAsia" w:ascii="宋体" w:hAnsi="宋体" w:cs="宋体"/>
          <w:b/>
          <w:bCs/>
          <w:color w:val="auto"/>
          <w:kern w:val="0"/>
          <w:sz w:val="24"/>
          <w:highlight w:val="none"/>
          <w:u w:val="single"/>
        </w:rPr>
        <w:t>、“投标报价明细表”为多页的，每页均需加盖投标人公章，未按要求盖章将作无效标处理。</w:t>
      </w:r>
    </w:p>
    <w:p w14:paraId="04485E23">
      <w:pPr>
        <w:spacing w:line="300" w:lineRule="exact"/>
        <w:rPr>
          <w:rFonts w:hint="eastAsia" w:ascii="宋体" w:hAnsi="宋体" w:cs="微软雅黑"/>
          <w:color w:val="auto"/>
          <w:szCs w:val="21"/>
          <w:highlight w:val="none"/>
        </w:rPr>
      </w:pPr>
      <w:r>
        <w:rPr>
          <w:rFonts w:ascii="宋体" w:hAnsi="宋体" w:cs="微软雅黑"/>
          <w:color w:val="auto"/>
          <w:szCs w:val="21"/>
          <w:highlight w:val="none"/>
        </w:rPr>
        <w:t>4</w:t>
      </w:r>
      <w:r>
        <w:rPr>
          <w:rFonts w:hint="eastAsia" w:ascii="宋体" w:hAnsi="宋体" w:cs="微软雅黑"/>
          <w:color w:val="auto"/>
          <w:szCs w:val="21"/>
          <w:highlight w:val="none"/>
        </w:rPr>
        <w:t>、漏报的视同已包含在投标总价内。有重大缺项的将作无效标处理。</w:t>
      </w:r>
    </w:p>
    <w:p w14:paraId="7FB9932B">
      <w:pPr>
        <w:spacing w:line="588" w:lineRule="exact"/>
        <w:jc w:val="left"/>
        <w:rPr>
          <w:rFonts w:hint="eastAsia" w:ascii="宋体" w:hAnsi="宋体"/>
          <w:b/>
          <w:color w:val="auto"/>
          <w:spacing w:val="6"/>
          <w:sz w:val="32"/>
          <w:szCs w:val="32"/>
          <w:highlight w:val="none"/>
        </w:rPr>
      </w:pPr>
    </w:p>
    <w:p w14:paraId="6C546A7F">
      <w:pPr>
        <w:spacing w:line="588" w:lineRule="exact"/>
        <w:jc w:val="left"/>
        <w:rPr>
          <w:rFonts w:hint="eastAsia" w:ascii="宋体" w:hAnsi="宋体"/>
          <w:b/>
          <w:color w:val="auto"/>
          <w:spacing w:val="6"/>
          <w:sz w:val="32"/>
          <w:szCs w:val="32"/>
          <w:highlight w:val="none"/>
        </w:rPr>
      </w:pPr>
    </w:p>
    <w:p w14:paraId="2E63D9EE">
      <w:pPr>
        <w:spacing w:line="588" w:lineRule="exact"/>
        <w:jc w:val="left"/>
        <w:rPr>
          <w:rFonts w:hint="eastAsia" w:ascii="宋体" w:hAnsi="宋体"/>
          <w:b/>
          <w:color w:val="auto"/>
          <w:spacing w:val="6"/>
          <w:sz w:val="32"/>
          <w:szCs w:val="32"/>
          <w:highlight w:val="none"/>
        </w:rPr>
      </w:pPr>
    </w:p>
    <w:p w14:paraId="21D25BCD">
      <w:pPr>
        <w:spacing w:before="120" w:beforeLines="50" w:after="120" w:afterLines="50"/>
        <w:ind w:right="-10"/>
        <w:rPr>
          <w:rFonts w:hint="eastAsia" w:ascii="宋体" w:hAnsi="宋体"/>
          <w:b/>
          <w:color w:val="auto"/>
          <w:sz w:val="30"/>
          <w:szCs w:val="30"/>
          <w:highlight w:val="none"/>
        </w:rPr>
      </w:pPr>
    </w:p>
    <w:p w14:paraId="2868F93A">
      <w:pPr>
        <w:rPr>
          <w:rFonts w:hint="eastAsia" w:ascii="宋体" w:hAnsi="宋体"/>
          <w:b/>
          <w:color w:val="auto"/>
          <w:sz w:val="30"/>
          <w:szCs w:val="30"/>
          <w:highlight w:val="none"/>
        </w:rPr>
      </w:pPr>
      <w:r>
        <w:rPr>
          <w:rFonts w:hint="eastAsia" w:ascii="宋体" w:hAnsi="宋体"/>
          <w:b/>
          <w:color w:val="auto"/>
          <w:sz w:val="30"/>
          <w:szCs w:val="30"/>
          <w:highlight w:val="none"/>
        </w:rPr>
        <w:br w:type="page"/>
      </w:r>
    </w:p>
    <w:p w14:paraId="5F446BC5">
      <w:pPr>
        <w:snapToGrid w:val="0"/>
        <w:rPr>
          <w:rFonts w:hint="eastAsia" w:ascii="宋体" w:hAnsi="宋体"/>
          <w:b/>
          <w:color w:val="auto"/>
          <w:sz w:val="30"/>
          <w:szCs w:val="30"/>
          <w:highlight w:val="none"/>
        </w:rPr>
      </w:pPr>
      <w:r>
        <w:rPr>
          <w:rFonts w:hint="eastAsia" w:ascii="宋体" w:hAnsi="宋体"/>
          <w:b/>
          <w:color w:val="auto"/>
          <w:sz w:val="30"/>
          <w:szCs w:val="30"/>
          <w:highlight w:val="none"/>
        </w:rPr>
        <w:t>附件：</w:t>
      </w:r>
    </w:p>
    <w:p w14:paraId="40181FAC">
      <w:pPr>
        <w:snapToGrid w:val="0"/>
        <w:jc w:val="center"/>
        <w:rPr>
          <w:rFonts w:hint="eastAsia" w:ascii="宋体" w:hAnsi="宋体"/>
          <w:b/>
          <w:color w:val="auto"/>
          <w:sz w:val="30"/>
          <w:szCs w:val="30"/>
          <w:highlight w:val="none"/>
        </w:rPr>
      </w:pPr>
      <w:r>
        <w:rPr>
          <w:rFonts w:hint="eastAsia" w:ascii="宋体" w:hAnsi="宋体"/>
          <w:b/>
          <w:color w:val="auto"/>
          <w:sz w:val="30"/>
          <w:szCs w:val="30"/>
          <w:highlight w:val="none"/>
        </w:rPr>
        <w:t>技术指标偏离情况一览表</w:t>
      </w:r>
    </w:p>
    <w:p w14:paraId="4F09DCC4">
      <w:pPr>
        <w:snapToGrid w:val="0"/>
        <w:rPr>
          <w:rFonts w:hint="eastAsia" w:ascii="宋体" w:hAnsi="宋体"/>
          <w:color w:val="auto"/>
          <w:sz w:val="24"/>
          <w:szCs w:val="21"/>
          <w:highlight w:val="none"/>
        </w:rPr>
      </w:pPr>
    </w:p>
    <w:p w14:paraId="436BD80B">
      <w:pPr>
        <w:snapToGrid w:val="0"/>
        <w:rPr>
          <w:rFonts w:hint="eastAsia" w:ascii="宋体" w:hAnsi="宋体"/>
          <w:color w:val="auto"/>
          <w:sz w:val="24"/>
          <w:szCs w:val="21"/>
          <w:highlight w:val="none"/>
        </w:rPr>
      </w:pPr>
      <w:r>
        <w:rPr>
          <w:rFonts w:hint="eastAsia" w:ascii="宋体" w:hAnsi="宋体"/>
          <w:color w:val="auto"/>
          <w:sz w:val="24"/>
          <w:szCs w:val="21"/>
          <w:highlight w:val="none"/>
        </w:rPr>
        <w:t>投标人全称（加盖公章）：                 项目</w:t>
      </w:r>
      <w:r>
        <w:rPr>
          <w:rFonts w:ascii="宋体" w:hAnsi="宋体"/>
          <w:color w:val="auto"/>
          <w:sz w:val="24"/>
          <w:szCs w:val="21"/>
          <w:highlight w:val="none"/>
        </w:rPr>
        <w:t>编号：</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2160"/>
        <w:gridCol w:w="1980"/>
        <w:gridCol w:w="1800"/>
        <w:gridCol w:w="1620"/>
      </w:tblGrid>
      <w:tr w14:paraId="2BEA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3951F7FE">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r>
              <w:rPr>
                <w:rFonts w:hint="eastAsia" w:ascii="宋体" w:hAnsi="宋体"/>
                <w:color w:val="auto"/>
                <w:sz w:val="24"/>
                <w:szCs w:val="21"/>
                <w:highlight w:val="none"/>
              </w:rPr>
              <w:t>序号</w:t>
            </w:r>
          </w:p>
        </w:tc>
        <w:tc>
          <w:tcPr>
            <w:tcW w:w="2160" w:type="dxa"/>
            <w:vAlign w:val="center"/>
          </w:tcPr>
          <w:p w14:paraId="3C025326">
            <w:pPr>
              <w:keepNext w:val="0"/>
              <w:keepLines w:val="0"/>
              <w:suppressLineNumbers w:val="0"/>
              <w:snapToGrid w:val="0"/>
              <w:spacing w:before="0" w:beforeAutospacing="0" w:after="0" w:afterAutospacing="0"/>
              <w:ind w:left="0" w:right="0"/>
              <w:jc w:val="center"/>
              <w:rPr>
                <w:rFonts w:hint="eastAsia" w:ascii="宋体" w:hAnsi="宋体"/>
                <w:color w:val="auto"/>
                <w:sz w:val="24"/>
                <w:szCs w:val="21"/>
                <w:highlight w:val="none"/>
              </w:rPr>
            </w:pPr>
            <w:r>
              <w:rPr>
                <w:rFonts w:hint="eastAsia" w:ascii="宋体" w:hAnsi="宋体"/>
                <w:color w:val="auto"/>
                <w:sz w:val="24"/>
                <w:szCs w:val="21"/>
                <w:highlight w:val="none"/>
              </w:rPr>
              <w:t>招标文件要求</w:t>
            </w:r>
          </w:p>
          <w:p w14:paraId="1D9286E8">
            <w:pPr>
              <w:keepNext w:val="0"/>
              <w:keepLines w:val="0"/>
              <w:suppressLineNumbers w:val="0"/>
              <w:snapToGrid w:val="0"/>
              <w:spacing w:before="0" w:beforeAutospacing="0" w:after="0" w:afterAutospacing="0"/>
              <w:ind w:left="0" w:right="0"/>
              <w:jc w:val="center"/>
              <w:rPr>
                <w:rFonts w:hint="eastAsia" w:ascii="宋体" w:hAnsi="宋体"/>
                <w:color w:val="auto"/>
                <w:sz w:val="24"/>
                <w:szCs w:val="21"/>
                <w:highlight w:val="none"/>
              </w:rPr>
            </w:pPr>
            <w:r>
              <w:rPr>
                <w:rFonts w:hint="eastAsia" w:ascii="宋体" w:hAnsi="宋体"/>
                <w:color w:val="auto"/>
                <w:sz w:val="24"/>
                <w:szCs w:val="21"/>
                <w:highlight w:val="none"/>
              </w:rPr>
              <w:t>技术指标</w:t>
            </w:r>
          </w:p>
        </w:tc>
        <w:tc>
          <w:tcPr>
            <w:tcW w:w="1980" w:type="dxa"/>
            <w:vAlign w:val="center"/>
          </w:tcPr>
          <w:p w14:paraId="2278ED67">
            <w:pPr>
              <w:keepNext w:val="0"/>
              <w:keepLines w:val="0"/>
              <w:suppressLineNumbers w:val="0"/>
              <w:snapToGrid w:val="0"/>
              <w:spacing w:before="0" w:beforeAutospacing="0" w:after="0" w:afterAutospacing="0"/>
              <w:ind w:left="0" w:right="0"/>
              <w:jc w:val="center"/>
              <w:rPr>
                <w:rFonts w:hint="eastAsia" w:ascii="宋体" w:hAnsi="宋体"/>
                <w:color w:val="auto"/>
                <w:sz w:val="24"/>
                <w:szCs w:val="21"/>
                <w:highlight w:val="none"/>
              </w:rPr>
            </w:pPr>
            <w:r>
              <w:rPr>
                <w:rFonts w:hint="eastAsia" w:ascii="宋体" w:hAnsi="宋体"/>
                <w:color w:val="auto"/>
                <w:sz w:val="24"/>
                <w:szCs w:val="21"/>
                <w:highlight w:val="none"/>
              </w:rPr>
              <w:t>投标服务</w:t>
            </w:r>
          </w:p>
          <w:p w14:paraId="7BBBD913">
            <w:pPr>
              <w:keepNext w:val="0"/>
              <w:keepLines w:val="0"/>
              <w:suppressLineNumbers w:val="0"/>
              <w:snapToGrid w:val="0"/>
              <w:spacing w:before="0" w:beforeAutospacing="0" w:after="0" w:afterAutospacing="0"/>
              <w:ind w:left="0" w:right="0"/>
              <w:jc w:val="center"/>
              <w:rPr>
                <w:rFonts w:hint="eastAsia" w:ascii="宋体" w:hAnsi="宋体"/>
                <w:color w:val="auto"/>
                <w:sz w:val="24"/>
                <w:szCs w:val="21"/>
                <w:highlight w:val="none"/>
              </w:rPr>
            </w:pPr>
            <w:r>
              <w:rPr>
                <w:rFonts w:hint="eastAsia" w:ascii="宋体" w:hAnsi="宋体"/>
                <w:color w:val="auto"/>
                <w:sz w:val="24"/>
                <w:szCs w:val="21"/>
                <w:highlight w:val="none"/>
              </w:rPr>
              <w:t>实际技术指标</w:t>
            </w:r>
          </w:p>
        </w:tc>
        <w:tc>
          <w:tcPr>
            <w:tcW w:w="1800" w:type="dxa"/>
            <w:vAlign w:val="center"/>
          </w:tcPr>
          <w:p w14:paraId="4879903F">
            <w:pPr>
              <w:keepNext w:val="0"/>
              <w:keepLines w:val="0"/>
              <w:suppressLineNumbers w:val="0"/>
              <w:snapToGrid w:val="0"/>
              <w:spacing w:before="0" w:beforeAutospacing="0" w:after="0" w:afterAutospacing="0"/>
              <w:ind w:left="0" w:right="0"/>
              <w:jc w:val="center"/>
              <w:rPr>
                <w:rFonts w:hint="eastAsia" w:ascii="宋体" w:hAnsi="宋体"/>
                <w:color w:val="auto"/>
                <w:sz w:val="24"/>
                <w:szCs w:val="21"/>
                <w:highlight w:val="none"/>
              </w:rPr>
            </w:pPr>
            <w:r>
              <w:rPr>
                <w:rFonts w:hint="eastAsia" w:ascii="宋体" w:hAnsi="宋体"/>
                <w:color w:val="auto"/>
                <w:sz w:val="24"/>
                <w:szCs w:val="21"/>
                <w:highlight w:val="none"/>
              </w:rPr>
              <w:t>偏离情况</w:t>
            </w:r>
          </w:p>
        </w:tc>
        <w:tc>
          <w:tcPr>
            <w:tcW w:w="1620" w:type="dxa"/>
            <w:vAlign w:val="center"/>
          </w:tcPr>
          <w:p w14:paraId="776DC605">
            <w:pPr>
              <w:keepNext w:val="0"/>
              <w:keepLines w:val="0"/>
              <w:suppressLineNumbers w:val="0"/>
              <w:snapToGrid w:val="0"/>
              <w:spacing w:before="0" w:beforeAutospacing="0" w:after="0" w:afterAutospacing="0"/>
              <w:ind w:left="0" w:right="0"/>
              <w:jc w:val="center"/>
              <w:rPr>
                <w:rFonts w:hint="eastAsia" w:ascii="宋体" w:hAnsi="宋体"/>
                <w:color w:val="auto"/>
                <w:sz w:val="24"/>
                <w:szCs w:val="21"/>
                <w:highlight w:val="none"/>
              </w:rPr>
            </w:pPr>
            <w:r>
              <w:rPr>
                <w:rFonts w:hint="eastAsia" w:ascii="宋体" w:hAnsi="宋体"/>
                <w:color w:val="auto"/>
                <w:sz w:val="24"/>
                <w:szCs w:val="21"/>
                <w:highlight w:val="none"/>
              </w:rPr>
              <w:t>偏离原因</w:t>
            </w:r>
          </w:p>
        </w:tc>
      </w:tr>
      <w:tr w14:paraId="2900F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63CAE22E">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5DB6F93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2146CA7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05D3DABB">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5E8E1EC0">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43B97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20E6DD69">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2BD4D81A">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53DB64C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2AF5FDF5">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298471EF">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5046B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6B631254">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30F8D45E">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66682617">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5B3F2BDA">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40233626">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0D29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61A422E3">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3ACCC93F">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59109D86">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78F2B9E4">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3D94561E">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5EE3F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7F7023F3">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1194AEDF">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79E01E2B">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33EDBD2A">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6268288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1DA6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6964631E">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09981889">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09D3C80A">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36B832B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63265695">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261CA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0FD983C3">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75AC020F">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2464E101">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187040AA">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2DE1E7E0">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2A238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494632A1">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528E9C40">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52C12A4A">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6B352A64">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2B9DFC36">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577D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1A350039">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337771AB">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7671F00D">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5EC18C4B">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03675171">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71CB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34ED320D">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3D8DCA3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120EB539">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5496E00A">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00191DB9">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1729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7BCE9F56">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406122A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13644B18">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794C3478">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1FD22B3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26EC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48C2158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13B5D0D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1F972CA5">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49D7ED30">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02989FB5">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67FF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5C1A7D99">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08DB6D16">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58D810AE">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410E7E3B">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76352909">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bl>
    <w:p w14:paraId="515136BA">
      <w:pPr>
        <w:snapToGrid w:val="0"/>
        <w:spacing w:before="120" w:beforeLines="50" w:after="50"/>
        <w:rPr>
          <w:rFonts w:hint="eastAsia" w:ascii="宋体" w:hAnsi="宋体"/>
          <w:color w:val="auto"/>
          <w:sz w:val="24"/>
          <w:szCs w:val="20"/>
          <w:highlight w:val="none"/>
          <w:u w:val="single"/>
        </w:rPr>
      </w:pPr>
      <w:r>
        <w:rPr>
          <w:rFonts w:hint="eastAsia" w:ascii="宋体" w:hAnsi="宋体"/>
          <w:color w:val="auto"/>
          <w:sz w:val="24"/>
          <w:szCs w:val="20"/>
          <w:highlight w:val="none"/>
        </w:rPr>
        <w:t>法定代表人签名或盖章：</w:t>
      </w:r>
    </w:p>
    <w:p w14:paraId="44D96971">
      <w:pPr>
        <w:snapToGrid w:val="0"/>
        <w:rPr>
          <w:rFonts w:hint="eastAsia" w:ascii="宋体" w:hAnsi="宋体"/>
          <w:color w:val="auto"/>
          <w:sz w:val="24"/>
          <w:szCs w:val="21"/>
          <w:highlight w:val="none"/>
        </w:rPr>
      </w:pPr>
      <w:r>
        <w:rPr>
          <w:rFonts w:hint="eastAsia" w:ascii="宋体" w:hAnsi="宋体"/>
          <w:color w:val="auto"/>
          <w:sz w:val="24"/>
          <w:szCs w:val="21"/>
          <w:highlight w:val="none"/>
        </w:rPr>
        <w:t>日期：  年  月  日</w:t>
      </w:r>
    </w:p>
    <w:p w14:paraId="090F3046">
      <w:pPr>
        <w:snapToGrid w:val="0"/>
        <w:rPr>
          <w:rFonts w:hint="eastAsia" w:ascii="宋体" w:hAnsi="宋体" w:eastAsia="宋体"/>
          <w:b/>
          <w:bCs/>
          <w:color w:val="auto"/>
          <w:sz w:val="24"/>
          <w:szCs w:val="21"/>
          <w:highlight w:val="none"/>
          <w:lang w:eastAsia="zh-CN"/>
        </w:rPr>
      </w:pPr>
      <w:r>
        <w:rPr>
          <w:rFonts w:hint="eastAsia" w:ascii="宋体" w:hAnsi="宋体"/>
          <w:color w:val="auto"/>
          <w:sz w:val="24"/>
          <w:szCs w:val="21"/>
          <w:highlight w:val="none"/>
        </w:rPr>
        <w:t>注：1、投标人必须按采购需求一一对应,如实填写《技术指标偏离情况一览表》，未按要求填写的，有可能作负偏离处理</w:t>
      </w:r>
      <w:r>
        <w:rPr>
          <w:rFonts w:hint="eastAsia" w:ascii="宋体" w:hAnsi="宋体"/>
          <w:color w:val="auto"/>
          <w:sz w:val="24"/>
          <w:szCs w:val="21"/>
          <w:highlight w:val="none"/>
          <w:lang w:eastAsia="zh-CN"/>
        </w:rPr>
        <w:t>，</w:t>
      </w:r>
      <w:r>
        <w:rPr>
          <w:rFonts w:hint="eastAsia" w:ascii="宋体" w:hAnsi="宋体"/>
          <w:b/>
          <w:bCs/>
          <w:color w:val="auto"/>
          <w:sz w:val="24"/>
          <w:szCs w:val="21"/>
          <w:highlight w:val="none"/>
          <w:lang w:eastAsia="zh-CN"/>
        </w:rPr>
        <w:t>填写“无偏离”或未填写项将视同完全响应采购文件要求。</w:t>
      </w:r>
    </w:p>
    <w:p w14:paraId="4D528B94">
      <w:pPr>
        <w:snapToGrid w:val="0"/>
        <w:rPr>
          <w:rFonts w:hint="eastAsia" w:ascii="宋体" w:hAnsi="宋体"/>
          <w:color w:val="auto"/>
          <w:sz w:val="24"/>
          <w:szCs w:val="21"/>
          <w:highlight w:val="none"/>
        </w:rPr>
      </w:pPr>
    </w:p>
    <w:p w14:paraId="26169B4C">
      <w:pPr>
        <w:snapToGrid w:val="0"/>
        <w:rPr>
          <w:rFonts w:hint="eastAsia" w:ascii="宋体" w:hAnsi="宋体"/>
          <w:color w:val="auto"/>
          <w:sz w:val="24"/>
          <w:szCs w:val="21"/>
          <w:highlight w:val="none"/>
        </w:rPr>
      </w:pPr>
      <w:r>
        <w:rPr>
          <w:rFonts w:hint="eastAsia" w:ascii="宋体" w:hAnsi="宋体"/>
          <w:color w:val="auto"/>
          <w:sz w:val="24"/>
          <w:szCs w:val="21"/>
          <w:highlight w:val="none"/>
        </w:rPr>
        <w:t>2、此表仅提供了表格形式，投标人应根据需要准备足够数量的表格来填写。</w:t>
      </w:r>
    </w:p>
    <w:p w14:paraId="517CA2CF">
      <w:pPr>
        <w:tabs>
          <w:tab w:val="left" w:pos="540"/>
        </w:tabs>
        <w:rPr>
          <w:rFonts w:hint="eastAsia" w:ascii="宋体" w:hAnsi="宋体"/>
          <w:b/>
          <w:color w:val="auto"/>
          <w:sz w:val="30"/>
          <w:szCs w:val="30"/>
          <w:highlight w:val="none"/>
        </w:rPr>
      </w:pPr>
    </w:p>
    <w:p w14:paraId="5FD87F73">
      <w:pPr>
        <w:tabs>
          <w:tab w:val="left" w:pos="540"/>
        </w:tabs>
        <w:rPr>
          <w:rFonts w:hint="eastAsia" w:ascii="宋体" w:hAnsi="宋体"/>
          <w:b/>
          <w:color w:val="auto"/>
          <w:sz w:val="30"/>
          <w:szCs w:val="30"/>
          <w:highlight w:val="none"/>
        </w:rPr>
      </w:pPr>
    </w:p>
    <w:p w14:paraId="3EFFE95F">
      <w:pPr>
        <w:tabs>
          <w:tab w:val="left" w:pos="540"/>
        </w:tabs>
        <w:rPr>
          <w:rFonts w:hint="eastAsia" w:ascii="宋体" w:hAnsi="宋体"/>
          <w:b/>
          <w:color w:val="auto"/>
          <w:sz w:val="30"/>
          <w:szCs w:val="30"/>
          <w:highlight w:val="none"/>
        </w:rPr>
      </w:pPr>
    </w:p>
    <w:p w14:paraId="772665CA">
      <w:pPr>
        <w:tabs>
          <w:tab w:val="left" w:pos="540"/>
        </w:tabs>
        <w:rPr>
          <w:rFonts w:hint="eastAsia" w:ascii="宋体" w:hAnsi="宋体"/>
          <w:b/>
          <w:color w:val="auto"/>
          <w:sz w:val="30"/>
          <w:szCs w:val="30"/>
          <w:highlight w:val="none"/>
        </w:rPr>
      </w:pPr>
    </w:p>
    <w:p w14:paraId="08E400D8">
      <w:pPr>
        <w:tabs>
          <w:tab w:val="left" w:pos="540"/>
        </w:tabs>
        <w:rPr>
          <w:rFonts w:hint="eastAsia" w:ascii="宋体" w:hAnsi="宋体"/>
          <w:b/>
          <w:color w:val="auto"/>
          <w:sz w:val="30"/>
          <w:szCs w:val="30"/>
          <w:highlight w:val="none"/>
        </w:rPr>
      </w:pPr>
    </w:p>
    <w:p w14:paraId="6B2FDBD8">
      <w:pPr>
        <w:tabs>
          <w:tab w:val="left" w:pos="540"/>
        </w:tabs>
        <w:rPr>
          <w:rFonts w:hint="eastAsia" w:ascii="宋体" w:hAnsi="宋体"/>
          <w:b/>
          <w:color w:val="auto"/>
          <w:sz w:val="30"/>
          <w:szCs w:val="30"/>
          <w:highlight w:val="none"/>
        </w:rPr>
      </w:pPr>
    </w:p>
    <w:p w14:paraId="3D621577">
      <w:pPr>
        <w:tabs>
          <w:tab w:val="left" w:pos="540"/>
        </w:tabs>
        <w:rPr>
          <w:rFonts w:hint="eastAsia" w:ascii="宋体" w:hAnsi="宋体"/>
          <w:b/>
          <w:color w:val="auto"/>
          <w:sz w:val="30"/>
          <w:szCs w:val="30"/>
          <w:highlight w:val="none"/>
        </w:rPr>
      </w:pPr>
    </w:p>
    <w:p w14:paraId="23011F7E">
      <w:pPr>
        <w:tabs>
          <w:tab w:val="left" w:pos="540"/>
        </w:tabs>
        <w:rPr>
          <w:rFonts w:hint="eastAsia" w:ascii="宋体" w:hAnsi="宋体"/>
          <w:b/>
          <w:color w:val="auto"/>
          <w:sz w:val="30"/>
          <w:szCs w:val="30"/>
          <w:highlight w:val="none"/>
        </w:rPr>
      </w:pPr>
    </w:p>
    <w:p w14:paraId="3FA63372">
      <w:pPr>
        <w:tabs>
          <w:tab w:val="left" w:pos="540"/>
        </w:tabs>
        <w:rPr>
          <w:rFonts w:hint="eastAsia" w:ascii="宋体" w:hAnsi="宋体"/>
          <w:b/>
          <w:color w:val="auto"/>
          <w:sz w:val="30"/>
          <w:szCs w:val="30"/>
          <w:highlight w:val="none"/>
        </w:rPr>
      </w:pPr>
    </w:p>
    <w:p w14:paraId="7C077F5D">
      <w:pPr>
        <w:tabs>
          <w:tab w:val="left" w:pos="540"/>
        </w:tabs>
        <w:rPr>
          <w:rFonts w:hint="eastAsia" w:ascii="宋体" w:hAnsi="宋体"/>
          <w:b/>
          <w:color w:val="auto"/>
          <w:sz w:val="30"/>
          <w:szCs w:val="30"/>
          <w:highlight w:val="none"/>
        </w:rPr>
      </w:pPr>
    </w:p>
    <w:p w14:paraId="21D71429">
      <w:pPr>
        <w:tabs>
          <w:tab w:val="left" w:pos="540"/>
        </w:tabs>
        <w:rPr>
          <w:rFonts w:hint="eastAsia" w:ascii="宋体" w:hAnsi="宋体"/>
          <w:b/>
          <w:color w:val="auto"/>
          <w:sz w:val="30"/>
          <w:szCs w:val="30"/>
          <w:highlight w:val="none"/>
        </w:rPr>
      </w:pPr>
    </w:p>
    <w:p w14:paraId="5FAFB758">
      <w:pPr>
        <w:tabs>
          <w:tab w:val="left" w:pos="540"/>
        </w:tabs>
        <w:rPr>
          <w:rFonts w:hint="eastAsia" w:ascii="宋体" w:hAnsi="宋体"/>
          <w:b/>
          <w:color w:val="auto"/>
          <w:sz w:val="30"/>
          <w:szCs w:val="30"/>
          <w:highlight w:val="none"/>
        </w:rPr>
      </w:pPr>
    </w:p>
    <w:p w14:paraId="664223A0">
      <w:pPr>
        <w:tabs>
          <w:tab w:val="left" w:pos="540"/>
        </w:tabs>
        <w:rPr>
          <w:rFonts w:hint="eastAsia" w:ascii="宋体" w:hAnsi="宋体"/>
          <w:b/>
          <w:color w:val="auto"/>
          <w:sz w:val="30"/>
          <w:szCs w:val="30"/>
          <w:highlight w:val="none"/>
        </w:rPr>
      </w:pPr>
    </w:p>
    <w:p w14:paraId="42D7DBD6">
      <w:pPr>
        <w:tabs>
          <w:tab w:val="left" w:pos="540"/>
        </w:tabs>
        <w:rPr>
          <w:rFonts w:hint="eastAsia" w:ascii="宋体" w:hAnsi="宋体"/>
          <w:b/>
          <w:color w:val="auto"/>
          <w:sz w:val="30"/>
          <w:szCs w:val="30"/>
          <w:highlight w:val="none"/>
        </w:rPr>
      </w:pPr>
    </w:p>
    <w:p w14:paraId="32016AD6">
      <w:pPr>
        <w:tabs>
          <w:tab w:val="left" w:pos="540"/>
        </w:tabs>
        <w:rPr>
          <w:rFonts w:hint="eastAsia" w:ascii="宋体" w:hAnsi="宋体"/>
          <w:b/>
          <w:color w:val="auto"/>
          <w:sz w:val="30"/>
          <w:szCs w:val="30"/>
          <w:highlight w:val="none"/>
        </w:rPr>
      </w:pPr>
      <w:r>
        <w:rPr>
          <w:rFonts w:hint="eastAsia" w:ascii="宋体" w:hAnsi="宋体"/>
          <w:b/>
          <w:color w:val="auto"/>
          <w:sz w:val="30"/>
          <w:szCs w:val="30"/>
          <w:highlight w:val="none"/>
        </w:rPr>
        <w:t>附件：</w:t>
      </w:r>
    </w:p>
    <w:p w14:paraId="2A03D6B3">
      <w:pPr>
        <w:tabs>
          <w:tab w:val="left" w:pos="540"/>
        </w:tabs>
        <w:jc w:val="center"/>
        <w:rPr>
          <w:rFonts w:hint="eastAsia" w:ascii="仿宋_GB2312" w:hAnsi="宋体" w:eastAsia="仿宋_GB2312"/>
          <w:b/>
          <w:color w:val="auto"/>
          <w:sz w:val="28"/>
          <w:szCs w:val="28"/>
          <w:highlight w:val="none"/>
          <w:lang w:val="en-GB"/>
        </w:rPr>
      </w:pPr>
      <w:r>
        <w:rPr>
          <w:rFonts w:hint="eastAsia" w:ascii="仿宋_GB2312" w:hAnsi="宋体" w:eastAsia="仿宋_GB2312"/>
          <w:b/>
          <w:color w:val="auto"/>
          <w:sz w:val="28"/>
          <w:szCs w:val="28"/>
          <w:highlight w:val="none"/>
          <w:lang w:val="en-GB"/>
        </w:rPr>
        <w:t>针对本项目的服务技术团队情况</w:t>
      </w:r>
    </w:p>
    <w:p w14:paraId="26E76DDE">
      <w:pPr>
        <w:spacing w:line="500" w:lineRule="exact"/>
        <w:jc w:val="center"/>
        <w:rPr>
          <w:rFonts w:hint="eastAsia" w:ascii="仿宋_GB2312" w:hAnsi="宋体" w:eastAsia="仿宋_GB2312"/>
          <w:b/>
          <w:color w:val="auto"/>
          <w:sz w:val="28"/>
          <w:szCs w:val="28"/>
          <w:highlight w:val="none"/>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4"/>
        <w:gridCol w:w="1015"/>
        <w:gridCol w:w="1105"/>
        <w:gridCol w:w="3755"/>
        <w:gridCol w:w="600"/>
        <w:gridCol w:w="661"/>
        <w:gridCol w:w="2235"/>
      </w:tblGrid>
      <w:tr w14:paraId="1AAD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exact"/>
          <w:jc w:val="center"/>
        </w:trPr>
        <w:tc>
          <w:tcPr>
            <w:tcW w:w="1424" w:type="dxa"/>
            <w:tcBorders>
              <w:top w:val="single" w:color="auto" w:sz="4" w:space="0"/>
              <w:left w:val="single" w:color="auto" w:sz="4" w:space="0"/>
              <w:bottom w:val="nil"/>
              <w:right w:val="single" w:color="auto" w:sz="4" w:space="0"/>
            </w:tcBorders>
            <w:shd w:val="clear" w:color="auto" w:fill="F3F3F3"/>
            <w:vAlign w:val="center"/>
          </w:tcPr>
          <w:p w14:paraId="1B6B9706">
            <w:pPr>
              <w:keepNext w:val="0"/>
              <w:keepLines w:val="0"/>
              <w:suppressLineNumbers w:val="0"/>
              <w:spacing w:before="0" w:beforeAutospacing="0" w:after="0" w:afterAutospacing="0"/>
              <w:ind w:left="0" w:right="0"/>
              <w:rPr>
                <w:rFonts w:hint="eastAsia" w:ascii="宋体" w:hAnsi="宋体"/>
                <w:b/>
                <w:color w:val="auto"/>
                <w:sz w:val="24"/>
                <w:highlight w:val="none"/>
              </w:rPr>
            </w:pPr>
            <w:r>
              <w:rPr>
                <w:rFonts w:hint="eastAsia" w:ascii="宋体" w:hAnsi="宋体"/>
                <w:b/>
                <w:color w:val="auto"/>
                <w:sz w:val="24"/>
                <w:highlight w:val="none"/>
              </w:rPr>
              <w:t>职责分工</w:t>
            </w:r>
          </w:p>
        </w:tc>
        <w:tc>
          <w:tcPr>
            <w:tcW w:w="1015" w:type="dxa"/>
            <w:tcBorders>
              <w:top w:val="single" w:color="auto" w:sz="4" w:space="0"/>
              <w:left w:val="single" w:color="auto" w:sz="4" w:space="0"/>
              <w:bottom w:val="nil"/>
              <w:right w:val="single" w:color="auto" w:sz="4" w:space="0"/>
            </w:tcBorders>
            <w:shd w:val="clear" w:color="auto" w:fill="F3F3F3"/>
            <w:vAlign w:val="center"/>
          </w:tcPr>
          <w:p w14:paraId="5C05863E">
            <w:pPr>
              <w:keepNext w:val="0"/>
              <w:keepLines w:val="0"/>
              <w:suppressLineNumbers w:val="0"/>
              <w:spacing w:before="0" w:beforeAutospacing="0" w:after="0" w:afterAutospacing="0"/>
              <w:ind w:left="0" w:right="0" w:firstLine="116" w:firstLineChars="48"/>
              <w:rPr>
                <w:rFonts w:hint="eastAsia" w:ascii="宋体" w:hAnsi="宋体"/>
                <w:b/>
                <w:color w:val="auto"/>
                <w:sz w:val="24"/>
                <w:highlight w:val="none"/>
              </w:rPr>
            </w:pPr>
            <w:r>
              <w:rPr>
                <w:rFonts w:hint="eastAsia" w:ascii="宋体" w:hAnsi="宋体"/>
                <w:b/>
                <w:color w:val="auto"/>
                <w:sz w:val="24"/>
                <w:highlight w:val="none"/>
              </w:rPr>
              <w:t>姓名</w:t>
            </w:r>
          </w:p>
        </w:tc>
        <w:tc>
          <w:tcPr>
            <w:tcW w:w="1105" w:type="dxa"/>
            <w:tcBorders>
              <w:top w:val="single" w:color="auto" w:sz="4" w:space="0"/>
              <w:left w:val="single" w:color="auto" w:sz="4" w:space="0"/>
              <w:bottom w:val="nil"/>
            </w:tcBorders>
            <w:shd w:val="clear" w:color="auto" w:fill="F3F3F3"/>
            <w:vAlign w:val="center"/>
          </w:tcPr>
          <w:p w14:paraId="0F78D6FF">
            <w:pPr>
              <w:keepNext w:val="0"/>
              <w:keepLines w:val="0"/>
              <w:suppressLineNumbers w:val="0"/>
              <w:spacing w:before="0" w:beforeAutospacing="0" w:after="0" w:afterAutospacing="0"/>
              <w:ind w:left="0" w:right="0"/>
              <w:rPr>
                <w:rFonts w:hint="eastAsia" w:ascii="宋体" w:hAnsi="宋体"/>
                <w:b/>
                <w:color w:val="auto"/>
                <w:sz w:val="24"/>
                <w:highlight w:val="none"/>
              </w:rPr>
            </w:pPr>
            <w:r>
              <w:rPr>
                <w:rFonts w:hint="eastAsia" w:ascii="宋体" w:hAnsi="宋体"/>
                <w:b/>
                <w:color w:val="auto"/>
                <w:sz w:val="24"/>
                <w:highlight w:val="none"/>
              </w:rPr>
              <w:t>现职务</w:t>
            </w:r>
          </w:p>
        </w:tc>
        <w:tc>
          <w:tcPr>
            <w:tcW w:w="3755" w:type="dxa"/>
            <w:tcBorders>
              <w:top w:val="single" w:color="auto" w:sz="4" w:space="0"/>
              <w:bottom w:val="nil"/>
            </w:tcBorders>
            <w:shd w:val="clear" w:color="auto" w:fill="F3F3F3"/>
            <w:vAlign w:val="center"/>
          </w:tcPr>
          <w:p w14:paraId="31D750DB">
            <w:pPr>
              <w:keepNext w:val="0"/>
              <w:keepLines w:val="0"/>
              <w:suppressLineNumbers w:val="0"/>
              <w:spacing w:before="0" w:beforeAutospacing="0" w:after="0" w:afterAutospacing="0"/>
              <w:ind w:left="0" w:right="0"/>
              <w:rPr>
                <w:rFonts w:hint="eastAsia" w:ascii="宋体" w:hAnsi="宋体"/>
                <w:b/>
                <w:color w:val="auto"/>
                <w:sz w:val="24"/>
                <w:highlight w:val="none"/>
              </w:rPr>
            </w:pPr>
            <w:r>
              <w:rPr>
                <w:rFonts w:hint="eastAsia" w:ascii="宋体" w:hAnsi="宋体"/>
                <w:b/>
                <w:color w:val="auto"/>
                <w:sz w:val="24"/>
                <w:highlight w:val="none"/>
              </w:rPr>
              <w:t>曾主持/参与的类似项目经历</w:t>
            </w:r>
          </w:p>
        </w:tc>
        <w:tc>
          <w:tcPr>
            <w:tcW w:w="600" w:type="dxa"/>
            <w:tcBorders>
              <w:top w:val="single" w:color="auto" w:sz="4" w:space="0"/>
              <w:bottom w:val="nil"/>
            </w:tcBorders>
            <w:shd w:val="clear" w:color="auto" w:fill="F3F3F3"/>
            <w:vAlign w:val="center"/>
          </w:tcPr>
          <w:p w14:paraId="27A9BCB5">
            <w:pPr>
              <w:keepNext w:val="0"/>
              <w:keepLines w:val="0"/>
              <w:suppressLineNumbers w:val="0"/>
              <w:spacing w:before="0" w:beforeAutospacing="0" w:after="0" w:afterAutospacing="0"/>
              <w:ind w:left="0" w:right="0"/>
              <w:rPr>
                <w:rFonts w:hint="eastAsia" w:ascii="宋体" w:hAnsi="宋体"/>
                <w:b/>
                <w:color w:val="auto"/>
                <w:sz w:val="24"/>
                <w:highlight w:val="none"/>
              </w:rPr>
            </w:pPr>
            <w:r>
              <w:rPr>
                <w:rFonts w:hint="eastAsia" w:ascii="宋体" w:hAnsi="宋体"/>
                <w:b/>
                <w:color w:val="auto"/>
                <w:sz w:val="24"/>
                <w:highlight w:val="none"/>
              </w:rPr>
              <w:t>职称</w:t>
            </w:r>
          </w:p>
        </w:tc>
        <w:tc>
          <w:tcPr>
            <w:tcW w:w="661" w:type="dxa"/>
            <w:tcBorders>
              <w:top w:val="single" w:color="auto" w:sz="4" w:space="0"/>
              <w:bottom w:val="nil"/>
              <w:right w:val="single" w:color="auto" w:sz="4" w:space="0"/>
            </w:tcBorders>
            <w:shd w:val="clear" w:color="auto" w:fill="F3F3F3"/>
            <w:vAlign w:val="center"/>
          </w:tcPr>
          <w:p w14:paraId="0C915B91">
            <w:pPr>
              <w:keepNext w:val="0"/>
              <w:keepLines w:val="0"/>
              <w:suppressLineNumbers w:val="0"/>
              <w:spacing w:before="0" w:beforeAutospacing="0" w:after="0" w:afterAutospacing="0"/>
              <w:ind w:left="0" w:right="0" w:firstLine="12"/>
              <w:jc w:val="center"/>
              <w:rPr>
                <w:rFonts w:hint="eastAsia" w:ascii="宋体" w:hAnsi="宋体"/>
                <w:b/>
                <w:color w:val="auto"/>
                <w:sz w:val="24"/>
                <w:highlight w:val="none"/>
              </w:rPr>
            </w:pPr>
            <w:r>
              <w:rPr>
                <w:rFonts w:hint="eastAsia" w:ascii="宋体" w:hAnsi="宋体"/>
                <w:b/>
                <w:color w:val="auto"/>
                <w:sz w:val="24"/>
                <w:highlight w:val="none"/>
              </w:rPr>
              <w:t>专业工龄</w:t>
            </w:r>
          </w:p>
        </w:tc>
        <w:tc>
          <w:tcPr>
            <w:tcW w:w="2235" w:type="dxa"/>
            <w:tcBorders>
              <w:top w:val="single" w:color="auto" w:sz="4" w:space="0"/>
              <w:bottom w:val="nil"/>
              <w:right w:val="single" w:color="auto" w:sz="4" w:space="0"/>
            </w:tcBorders>
            <w:shd w:val="clear" w:color="auto" w:fill="F3F3F3"/>
            <w:vAlign w:val="center"/>
          </w:tcPr>
          <w:p w14:paraId="32E54D1B">
            <w:pPr>
              <w:keepNext w:val="0"/>
              <w:keepLines w:val="0"/>
              <w:suppressLineNumbers w:val="0"/>
              <w:spacing w:before="0" w:beforeAutospacing="0" w:after="0" w:afterAutospacing="0"/>
              <w:ind w:left="0" w:right="0" w:firstLine="12"/>
              <w:rPr>
                <w:rFonts w:hint="eastAsia" w:ascii="宋体" w:hAnsi="宋体"/>
                <w:b/>
                <w:color w:val="auto"/>
                <w:sz w:val="24"/>
                <w:highlight w:val="none"/>
              </w:rPr>
            </w:pPr>
            <w:r>
              <w:rPr>
                <w:rFonts w:hint="eastAsia" w:ascii="宋体" w:hAnsi="宋体"/>
                <w:b/>
                <w:color w:val="auto"/>
                <w:sz w:val="24"/>
                <w:highlight w:val="none"/>
              </w:rPr>
              <w:t>联系电话/手机</w:t>
            </w:r>
          </w:p>
        </w:tc>
      </w:tr>
      <w:tr w14:paraId="5DFC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exact"/>
          <w:jc w:val="center"/>
        </w:trPr>
        <w:tc>
          <w:tcPr>
            <w:tcW w:w="1424" w:type="dxa"/>
            <w:tcBorders>
              <w:top w:val="single" w:color="auto" w:sz="4" w:space="0"/>
              <w:left w:val="single" w:color="auto" w:sz="4" w:space="0"/>
              <w:bottom w:val="nil"/>
              <w:right w:val="single" w:color="auto" w:sz="4" w:space="0"/>
            </w:tcBorders>
            <w:vAlign w:val="center"/>
          </w:tcPr>
          <w:p w14:paraId="757ED4AC">
            <w:pPr>
              <w:keepNext w:val="0"/>
              <w:keepLines w:val="0"/>
              <w:suppressLineNumbers w:val="0"/>
              <w:spacing w:before="0" w:beforeAutospacing="0" w:after="0" w:afterAutospacing="0"/>
              <w:ind w:left="0" w:right="0"/>
              <w:rPr>
                <w:rFonts w:hint="eastAsia" w:ascii="宋体" w:hAnsi="宋体"/>
                <w:color w:val="auto"/>
                <w:sz w:val="24"/>
                <w:highlight w:val="none"/>
              </w:rPr>
            </w:pPr>
            <w:r>
              <w:rPr>
                <w:rFonts w:hint="eastAsia" w:ascii="宋体" w:hAnsi="宋体"/>
                <w:color w:val="auto"/>
                <w:sz w:val="24"/>
                <w:highlight w:val="none"/>
              </w:rPr>
              <w:t>项目负责人</w:t>
            </w:r>
          </w:p>
        </w:tc>
        <w:tc>
          <w:tcPr>
            <w:tcW w:w="1015" w:type="dxa"/>
            <w:tcBorders>
              <w:top w:val="single" w:color="auto" w:sz="4" w:space="0"/>
              <w:left w:val="single" w:color="auto" w:sz="4" w:space="0"/>
              <w:bottom w:val="nil"/>
              <w:right w:val="single" w:color="auto" w:sz="4" w:space="0"/>
            </w:tcBorders>
            <w:vAlign w:val="center"/>
          </w:tcPr>
          <w:p w14:paraId="14868476">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1105" w:type="dxa"/>
            <w:tcBorders>
              <w:top w:val="single" w:color="auto" w:sz="4" w:space="0"/>
              <w:left w:val="single" w:color="auto" w:sz="4" w:space="0"/>
              <w:bottom w:val="nil"/>
            </w:tcBorders>
            <w:vAlign w:val="center"/>
          </w:tcPr>
          <w:p w14:paraId="36C96F4F">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3755" w:type="dxa"/>
            <w:tcBorders>
              <w:top w:val="single" w:color="auto" w:sz="4" w:space="0"/>
              <w:bottom w:val="nil"/>
            </w:tcBorders>
            <w:vAlign w:val="center"/>
          </w:tcPr>
          <w:p w14:paraId="1149D7FA">
            <w:pPr>
              <w:pStyle w:val="27"/>
              <w:keepNext w:val="0"/>
              <w:keepLines w:val="0"/>
              <w:suppressLineNumbers w:val="0"/>
              <w:adjustRightInd/>
              <w:spacing w:before="0" w:beforeAutospacing="0" w:after="0" w:afterAutospacing="0" w:line="240" w:lineRule="auto"/>
              <w:ind w:left="0" w:right="0"/>
              <w:textAlignment w:val="auto"/>
              <w:rPr>
                <w:rFonts w:hint="eastAsia" w:ascii="宋体" w:hAnsi="宋体"/>
                <w:snapToGrid/>
                <w:color w:val="auto"/>
                <w:spacing w:val="0"/>
                <w:kern w:val="2"/>
                <w:szCs w:val="24"/>
                <w:highlight w:val="none"/>
              </w:rPr>
            </w:pPr>
          </w:p>
        </w:tc>
        <w:tc>
          <w:tcPr>
            <w:tcW w:w="600" w:type="dxa"/>
            <w:tcBorders>
              <w:top w:val="single" w:color="auto" w:sz="4" w:space="0"/>
              <w:bottom w:val="nil"/>
            </w:tcBorders>
            <w:vAlign w:val="center"/>
          </w:tcPr>
          <w:p w14:paraId="77700B6D">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61" w:type="dxa"/>
            <w:tcBorders>
              <w:top w:val="single" w:color="auto" w:sz="4" w:space="0"/>
              <w:bottom w:val="nil"/>
              <w:right w:val="single" w:color="auto" w:sz="4" w:space="0"/>
            </w:tcBorders>
            <w:vAlign w:val="center"/>
          </w:tcPr>
          <w:p w14:paraId="6DEF5ED1">
            <w:pPr>
              <w:keepNext w:val="0"/>
              <w:keepLines w:val="0"/>
              <w:suppressLineNumbers w:val="0"/>
              <w:spacing w:before="0" w:beforeAutospacing="0" w:after="0" w:afterAutospacing="0"/>
              <w:ind w:left="0" w:right="0" w:firstLine="12"/>
              <w:jc w:val="center"/>
              <w:rPr>
                <w:rFonts w:hint="eastAsia" w:ascii="宋体" w:hAnsi="宋体"/>
                <w:color w:val="auto"/>
                <w:sz w:val="24"/>
                <w:highlight w:val="none"/>
              </w:rPr>
            </w:pPr>
          </w:p>
        </w:tc>
        <w:tc>
          <w:tcPr>
            <w:tcW w:w="2235" w:type="dxa"/>
            <w:tcBorders>
              <w:top w:val="single" w:color="auto" w:sz="4" w:space="0"/>
              <w:bottom w:val="nil"/>
              <w:right w:val="single" w:color="auto" w:sz="4" w:space="0"/>
            </w:tcBorders>
            <w:vAlign w:val="center"/>
          </w:tcPr>
          <w:p w14:paraId="48253AA5">
            <w:pPr>
              <w:keepNext w:val="0"/>
              <w:keepLines w:val="0"/>
              <w:suppressLineNumbers w:val="0"/>
              <w:spacing w:before="0" w:beforeAutospacing="0" w:after="0" w:afterAutospacing="0"/>
              <w:ind w:left="0" w:right="0" w:firstLine="12"/>
              <w:jc w:val="center"/>
              <w:rPr>
                <w:rFonts w:hint="eastAsia" w:ascii="宋体" w:hAnsi="宋体"/>
                <w:color w:val="auto"/>
                <w:sz w:val="24"/>
                <w:highlight w:val="none"/>
              </w:rPr>
            </w:pPr>
          </w:p>
        </w:tc>
      </w:tr>
      <w:tr w14:paraId="378D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24" w:type="dxa"/>
            <w:vMerge w:val="restart"/>
            <w:tcBorders>
              <w:left w:val="single" w:color="auto" w:sz="4" w:space="0"/>
              <w:right w:val="single" w:color="auto" w:sz="4" w:space="0"/>
            </w:tcBorders>
            <w:vAlign w:val="center"/>
          </w:tcPr>
          <w:p w14:paraId="0C80B78C">
            <w:pPr>
              <w:keepNext w:val="0"/>
              <w:keepLines w:val="0"/>
              <w:suppressLineNumbers w:val="0"/>
              <w:spacing w:before="0" w:beforeAutospacing="0" w:after="0" w:afterAutospacing="0"/>
              <w:ind w:left="0" w:right="0"/>
              <w:rPr>
                <w:rFonts w:hint="eastAsia" w:ascii="宋体" w:hAnsi="宋体"/>
                <w:color w:val="auto"/>
                <w:sz w:val="24"/>
                <w:highlight w:val="none"/>
              </w:rPr>
            </w:pPr>
            <w:r>
              <w:rPr>
                <w:rFonts w:hint="eastAsia" w:ascii="宋体" w:hAnsi="宋体"/>
                <w:color w:val="auto"/>
                <w:sz w:val="24"/>
                <w:highlight w:val="none"/>
              </w:rPr>
              <w:t>其他主要技术人员</w:t>
            </w:r>
          </w:p>
        </w:tc>
        <w:tc>
          <w:tcPr>
            <w:tcW w:w="1015" w:type="dxa"/>
            <w:tcBorders>
              <w:left w:val="single" w:color="auto" w:sz="4" w:space="0"/>
              <w:right w:val="single" w:color="auto" w:sz="4" w:space="0"/>
            </w:tcBorders>
            <w:vAlign w:val="center"/>
          </w:tcPr>
          <w:p w14:paraId="6C98F933">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1105" w:type="dxa"/>
            <w:tcBorders>
              <w:left w:val="single" w:color="auto" w:sz="4" w:space="0"/>
            </w:tcBorders>
            <w:vAlign w:val="center"/>
          </w:tcPr>
          <w:p w14:paraId="01A0FD40">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3755" w:type="dxa"/>
            <w:vAlign w:val="center"/>
          </w:tcPr>
          <w:p w14:paraId="5B1088CA">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00" w:type="dxa"/>
            <w:vAlign w:val="center"/>
          </w:tcPr>
          <w:p w14:paraId="081300E2">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61" w:type="dxa"/>
            <w:tcBorders>
              <w:right w:val="single" w:color="auto" w:sz="4" w:space="0"/>
            </w:tcBorders>
            <w:vAlign w:val="center"/>
          </w:tcPr>
          <w:p w14:paraId="1B67DDDC">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2235" w:type="dxa"/>
            <w:tcBorders>
              <w:right w:val="single" w:color="auto" w:sz="4" w:space="0"/>
            </w:tcBorders>
            <w:vAlign w:val="center"/>
          </w:tcPr>
          <w:p w14:paraId="22654682">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r>
      <w:tr w14:paraId="45767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24" w:type="dxa"/>
            <w:vMerge w:val="continue"/>
            <w:tcBorders>
              <w:left w:val="single" w:color="auto" w:sz="4" w:space="0"/>
              <w:right w:val="single" w:color="auto" w:sz="4" w:space="0"/>
            </w:tcBorders>
            <w:vAlign w:val="center"/>
          </w:tcPr>
          <w:p w14:paraId="467005A9">
            <w:pPr>
              <w:keepNext w:val="0"/>
              <w:keepLines w:val="0"/>
              <w:suppressLineNumbers w:val="0"/>
              <w:spacing w:before="0" w:beforeAutospacing="0" w:after="0" w:afterAutospacing="0"/>
              <w:ind w:left="0" w:right="0"/>
              <w:rPr>
                <w:rFonts w:hint="eastAsia" w:ascii="宋体" w:hAnsi="宋体"/>
                <w:color w:val="auto"/>
                <w:sz w:val="24"/>
                <w:highlight w:val="none"/>
              </w:rPr>
            </w:pPr>
          </w:p>
        </w:tc>
        <w:tc>
          <w:tcPr>
            <w:tcW w:w="1015" w:type="dxa"/>
            <w:tcBorders>
              <w:left w:val="single" w:color="auto" w:sz="4" w:space="0"/>
              <w:right w:val="single" w:color="auto" w:sz="4" w:space="0"/>
            </w:tcBorders>
            <w:vAlign w:val="center"/>
          </w:tcPr>
          <w:p w14:paraId="05388A91">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1105" w:type="dxa"/>
            <w:tcBorders>
              <w:left w:val="single" w:color="auto" w:sz="4" w:space="0"/>
            </w:tcBorders>
            <w:vAlign w:val="center"/>
          </w:tcPr>
          <w:p w14:paraId="59A9841E">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3755" w:type="dxa"/>
            <w:vAlign w:val="center"/>
          </w:tcPr>
          <w:p w14:paraId="56597770">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00" w:type="dxa"/>
            <w:vAlign w:val="center"/>
          </w:tcPr>
          <w:p w14:paraId="7AF8952D">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61" w:type="dxa"/>
            <w:tcBorders>
              <w:right w:val="single" w:color="auto" w:sz="4" w:space="0"/>
            </w:tcBorders>
            <w:vAlign w:val="center"/>
          </w:tcPr>
          <w:p w14:paraId="2B8A4545">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2235" w:type="dxa"/>
            <w:tcBorders>
              <w:right w:val="single" w:color="auto" w:sz="4" w:space="0"/>
            </w:tcBorders>
            <w:vAlign w:val="center"/>
          </w:tcPr>
          <w:p w14:paraId="29921C2A">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r>
      <w:tr w14:paraId="230A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24" w:type="dxa"/>
            <w:vMerge w:val="continue"/>
            <w:tcBorders>
              <w:left w:val="single" w:color="auto" w:sz="4" w:space="0"/>
              <w:right w:val="single" w:color="auto" w:sz="4" w:space="0"/>
            </w:tcBorders>
            <w:vAlign w:val="center"/>
          </w:tcPr>
          <w:p w14:paraId="6FF07CE9">
            <w:pPr>
              <w:keepNext w:val="0"/>
              <w:keepLines w:val="0"/>
              <w:suppressLineNumbers w:val="0"/>
              <w:spacing w:before="0" w:beforeAutospacing="0" w:after="0" w:afterAutospacing="0"/>
              <w:ind w:left="0" w:right="0"/>
              <w:rPr>
                <w:rFonts w:hint="eastAsia" w:ascii="宋体" w:hAnsi="宋体"/>
                <w:color w:val="auto"/>
                <w:sz w:val="24"/>
                <w:highlight w:val="none"/>
              </w:rPr>
            </w:pPr>
          </w:p>
        </w:tc>
        <w:tc>
          <w:tcPr>
            <w:tcW w:w="1015" w:type="dxa"/>
            <w:tcBorders>
              <w:left w:val="single" w:color="auto" w:sz="4" w:space="0"/>
              <w:right w:val="single" w:color="auto" w:sz="4" w:space="0"/>
            </w:tcBorders>
            <w:vAlign w:val="center"/>
          </w:tcPr>
          <w:p w14:paraId="5BF757CD">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1105" w:type="dxa"/>
            <w:tcBorders>
              <w:left w:val="single" w:color="auto" w:sz="4" w:space="0"/>
            </w:tcBorders>
            <w:vAlign w:val="center"/>
          </w:tcPr>
          <w:p w14:paraId="61B487BE">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3755" w:type="dxa"/>
            <w:vAlign w:val="center"/>
          </w:tcPr>
          <w:p w14:paraId="671B5F62">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00" w:type="dxa"/>
            <w:vAlign w:val="center"/>
          </w:tcPr>
          <w:p w14:paraId="66C34517">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61" w:type="dxa"/>
            <w:tcBorders>
              <w:right w:val="single" w:color="auto" w:sz="4" w:space="0"/>
            </w:tcBorders>
            <w:vAlign w:val="center"/>
          </w:tcPr>
          <w:p w14:paraId="75F7D0C4">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2235" w:type="dxa"/>
            <w:tcBorders>
              <w:right w:val="single" w:color="auto" w:sz="4" w:space="0"/>
            </w:tcBorders>
            <w:vAlign w:val="center"/>
          </w:tcPr>
          <w:p w14:paraId="4A635E94">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r>
      <w:tr w14:paraId="7CB3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24" w:type="dxa"/>
            <w:vMerge w:val="continue"/>
            <w:tcBorders>
              <w:left w:val="single" w:color="auto" w:sz="4" w:space="0"/>
              <w:right w:val="single" w:color="auto" w:sz="4" w:space="0"/>
            </w:tcBorders>
            <w:vAlign w:val="center"/>
          </w:tcPr>
          <w:p w14:paraId="5D29E950">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1015" w:type="dxa"/>
            <w:tcBorders>
              <w:left w:val="single" w:color="auto" w:sz="4" w:space="0"/>
              <w:right w:val="single" w:color="auto" w:sz="4" w:space="0"/>
            </w:tcBorders>
            <w:vAlign w:val="center"/>
          </w:tcPr>
          <w:p w14:paraId="15648434">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1105" w:type="dxa"/>
            <w:tcBorders>
              <w:left w:val="single" w:color="auto" w:sz="4" w:space="0"/>
            </w:tcBorders>
            <w:vAlign w:val="center"/>
          </w:tcPr>
          <w:p w14:paraId="5E6878CB">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3755" w:type="dxa"/>
            <w:vAlign w:val="center"/>
          </w:tcPr>
          <w:p w14:paraId="4B0886D2">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00" w:type="dxa"/>
            <w:vAlign w:val="center"/>
          </w:tcPr>
          <w:p w14:paraId="62BF97D7">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61" w:type="dxa"/>
            <w:tcBorders>
              <w:right w:val="single" w:color="auto" w:sz="4" w:space="0"/>
            </w:tcBorders>
            <w:vAlign w:val="center"/>
          </w:tcPr>
          <w:p w14:paraId="665C44F8">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2235" w:type="dxa"/>
            <w:tcBorders>
              <w:right w:val="single" w:color="auto" w:sz="4" w:space="0"/>
            </w:tcBorders>
            <w:vAlign w:val="center"/>
          </w:tcPr>
          <w:p w14:paraId="51AF181B">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r>
      <w:tr w14:paraId="140BB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24" w:type="dxa"/>
            <w:vMerge w:val="continue"/>
            <w:tcBorders>
              <w:left w:val="single" w:color="auto" w:sz="4" w:space="0"/>
              <w:right w:val="single" w:color="auto" w:sz="4" w:space="0"/>
            </w:tcBorders>
            <w:vAlign w:val="center"/>
          </w:tcPr>
          <w:p w14:paraId="55210502">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1015" w:type="dxa"/>
            <w:tcBorders>
              <w:left w:val="single" w:color="auto" w:sz="4" w:space="0"/>
              <w:right w:val="single" w:color="auto" w:sz="4" w:space="0"/>
            </w:tcBorders>
            <w:vAlign w:val="center"/>
          </w:tcPr>
          <w:p w14:paraId="2D5F59BD">
            <w:pPr>
              <w:keepNext w:val="0"/>
              <w:keepLines w:val="0"/>
              <w:suppressLineNumbers w:val="0"/>
              <w:spacing w:before="0" w:beforeAutospacing="0" w:after="0" w:afterAutospacing="0"/>
              <w:ind w:left="0" w:right="0"/>
              <w:jc w:val="center"/>
              <w:rPr>
                <w:rFonts w:hint="eastAsia" w:ascii="宋体" w:hAnsi="宋体"/>
                <w:color w:val="auto"/>
                <w:sz w:val="24"/>
                <w:highlight w:val="none"/>
              </w:rPr>
            </w:pPr>
            <w:r>
              <w:rPr>
                <w:rFonts w:hint="eastAsia" w:ascii="宋体" w:hAnsi="宋体"/>
                <w:color w:val="auto"/>
                <w:sz w:val="24"/>
                <w:highlight w:val="none"/>
              </w:rPr>
              <w:t>…</w:t>
            </w:r>
          </w:p>
        </w:tc>
        <w:tc>
          <w:tcPr>
            <w:tcW w:w="1105" w:type="dxa"/>
            <w:tcBorders>
              <w:left w:val="single" w:color="auto" w:sz="4" w:space="0"/>
            </w:tcBorders>
            <w:vAlign w:val="center"/>
          </w:tcPr>
          <w:p w14:paraId="6143647C">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3755" w:type="dxa"/>
            <w:vAlign w:val="center"/>
          </w:tcPr>
          <w:p w14:paraId="168CAA3F">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00" w:type="dxa"/>
            <w:vAlign w:val="center"/>
          </w:tcPr>
          <w:p w14:paraId="147F2783">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61" w:type="dxa"/>
            <w:tcBorders>
              <w:right w:val="single" w:color="auto" w:sz="4" w:space="0"/>
            </w:tcBorders>
            <w:vAlign w:val="center"/>
          </w:tcPr>
          <w:p w14:paraId="7E586A63">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2235" w:type="dxa"/>
            <w:tcBorders>
              <w:right w:val="single" w:color="auto" w:sz="4" w:space="0"/>
            </w:tcBorders>
            <w:vAlign w:val="center"/>
          </w:tcPr>
          <w:p w14:paraId="696F26A6">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r>
    </w:tbl>
    <w:p w14:paraId="308F66F2">
      <w:pPr>
        <w:spacing w:line="500" w:lineRule="exact"/>
        <w:jc w:val="center"/>
        <w:rPr>
          <w:rFonts w:hint="eastAsia" w:ascii="宋体" w:hAnsi="宋体"/>
          <w:b/>
          <w:bCs/>
          <w:color w:val="auto"/>
          <w:sz w:val="28"/>
          <w:szCs w:val="28"/>
          <w:highlight w:val="none"/>
        </w:rPr>
      </w:pPr>
    </w:p>
    <w:p w14:paraId="731E8EC7">
      <w:pPr>
        <w:rPr>
          <w:rFonts w:hint="eastAsia" w:ascii="宋体" w:hAnsi="宋体"/>
          <w:color w:val="auto"/>
          <w:sz w:val="28"/>
          <w:szCs w:val="28"/>
          <w:highlight w:val="none"/>
          <w:lang w:val="en-GB"/>
        </w:rPr>
      </w:pPr>
      <w:r>
        <w:rPr>
          <w:rFonts w:hint="eastAsia" w:ascii="宋体" w:hAnsi="宋体"/>
          <w:color w:val="auto"/>
          <w:sz w:val="28"/>
          <w:szCs w:val="28"/>
          <w:highlight w:val="none"/>
          <w:lang w:val="en-GB"/>
        </w:rPr>
        <w:t>注：项目负责人和其他主要技术人员应附有关身份证明、从业资格证明（如有）、职称证（如有）</w:t>
      </w:r>
      <w:r>
        <w:rPr>
          <w:rFonts w:hint="eastAsia" w:ascii="宋体" w:hAnsi="宋体"/>
          <w:color w:val="auto"/>
          <w:sz w:val="28"/>
          <w:szCs w:val="28"/>
          <w:highlight w:val="none"/>
          <w:lang w:val="en-GB" w:eastAsia="zh-CN"/>
        </w:rPr>
        <w:t>、</w:t>
      </w:r>
      <w:r>
        <w:rPr>
          <w:rFonts w:hint="eastAsia" w:ascii="宋体" w:hAnsi="宋体"/>
          <w:color w:val="auto"/>
          <w:sz w:val="28"/>
          <w:szCs w:val="28"/>
          <w:highlight w:val="none"/>
          <w:lang w:val="en-GB"/>
        </w:rPr>
        <w:t>社保缴费等有关证明文件（根据评分办法提供相关资料）。</w:t>
      </w:r>
    </w:p>
    <w:p w14:paraId="63A949B0">
      <w:pPr>
        <w:rPr>
          <w:rFonts w:hint="eastAsia" w:ascii="宋体" w:hAnsi="宋体"/>
          <w:b/>
          <w:color w:val="auto"/>
          <w:sz w:val="28"/>
          <w:szCs w:val="28"/>
          <w:highlight w:val="none"/>
          <w:lang w:val="en-GB"/>
        </w:rPr>
      </w:pPr>
      <w:r>
        <w:rPr>
          <w:rFonts w:hint="eastAsia" w:ascii="宋体" w:hAnsi="宋体"/>
          <w:color w:val="auto"/>
          <w:sz w:val="28"/>
          <w:szCs w:val="28"/>
          <w:highlight w:val="none"/>
        </w:rPr>
        <w:t>此表仅提供了表格形式，谈判响应方应根据需要准备足够数量的表格来填写。</w:t>
      </w:r>
    </w:p>
    <w:p w14:paraId="636CD32D">
      <w:pPr>
        <w:tabs>
          <w:tab w:val="left" w:pos="540"/>
        </w:tabs>
        <w:rPr>
          <w:rFonts w:hint="eastAsia" w:ascii="宋体" w:hAnsi="宋体"/>
          <w:b/>
          <w:color w:val="auto"/>
          <w:sz w:val="28"/>
          <w:szCs w:val="28"/>
          <w:highlight w:val="none"/>
          <w:lang w:val="en-GB"/>
        </w:rPr>
      </w:pPr>
    </w:p>
    <w:p w14:paraId="7375B2AF">
      <w:pPr>
        <w:adjustRightInd w:val="0"/>
        <w:snapToGrid w:val="0"/>
        <w:spacing w:line="300" w:lineRule="auto"/>
        <w:rPr>
          <w:rFonts w:hint="eastAsia" w:ascii="宋体" w:hAnsi="宋体"/>
          <w:color w:val="auto"/>
          <w:sz w:val="28"/>
          <w:szCs w:val="28"/>
          <w:highlight w:val="none"/>
        </w:rPr>
      </w:pPr>
      <w:r>
        <w:rPr>
          <w:rFonts w:hint="eastAsia" w:ascii="宋体" w:hAnsi="宋体"/>
          <w:color w:val="auto"/>
          <w:sz w:val="28"/>
          <w:szCs w:val="28"/>
          <w:highlight w:val="none"/>
        </w:rPr>
        <w:t>法定代表人或授权代表签字（或盖法人章）：</w:t>
      </w:r>
      <w:r>
        <w:rPr>
          <w:rFonts w:hint="eastAsia" w:ascii="宋体" w:hAnsi="宋体"/>
          <w:color w:val="auto"/>
          <w:sz w:val="28"/>
          <w:szCs w:val="28"/>
          <w:highlight w:val="none"/>
          <w:u w:val="single"/>
        </w:rPr>
        <w:t xml:space="preserve">         </w:t>
      </w:r>
    </w:p>
    <w:p w14:paraId="01B77C85">
      <w:pPr>
        <w:adjustRightInd w:val="0"/>
        <w:snapToGrid w:val="0"/>
        <w:spacing w:line="300" w:lineRule="auto"/>
        <w:rPr>
          <w:rFonts w:hint="eastAsia" w:ascii="宋体" w:hAnsi="宋体"/>
          <w:color w:val="auto"/>
          <w:sz w:val="28"/>
          <w:szCs w:val="28"/>
          <w:highlight w:val="none"/>
          <w:u w:val="single"/>
        </w:rPr>
      </w:pPr>
      <w:r>
        <w:rPr>
          <w:rFonts w:hint="eastAsia" w:ascii="宋体" w:hAnsi="宋体"/>
          <w:color w:val="auto"/>
          <w:sz w:val="28"/>
          <w:szCs w:val="28"/>
          <w:highlight w:val="none"/>
        </w:rPr>
        <w:t>投标人名称（盖章）：</w:t>
      </w:r>
      <w:r>
        <w:rPr>
          <w:rFonts w:hint="eastAsia" w:ascii="宋体" w:hAnsi="宋体"/>
          <w:color w:val="auto"/>
          <w:sz w:val="28"/>
          <w:szCs w:val="28"/>
          <w:highlight w:val="none"/>
          <w:u w:val="single"/>
        </w:rPr>
        <w:t xml:space="preserve">                        </w:t>
      </w:r>
    </w:p>
    <w:p w14:paraId="522CA8E7">
      <w:pPr>
        <w:spacing w:line="500" w:lineRule="exact"/>
        <w:rPr>
          <w:rFonts w:hint="eastAsia" w:ascii="宋体" w:hAnsi="宋体"/>
          <w:color w:val="auto"/>
          <w:sz w:val="28"/>
          <w:szCs w:val="28"/>
          <w:highlight w:val="none"/>
        </w:rPr>
      </w:pPr>
      <w:r>
        <w:rPr>
          <w:rFonts w:hint="eastAsia" w:ascii="宋体" w:hAnsi="宋体"/>
          <w:color w:val="auto"/>
          <w:sz w:val="28"/>
          <w:szCs w:val="28"/>
          <w:highlight w:val="none"/>
        </w:rPr>
        <w:t>日期：</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年</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 xml:space="preserve"> 月</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 xml:space="preserve"> 日</w:t>
      </w:r>
    </w:p>
    <w:p w14:paraId="04708EA5">
      <w:pPr>
        <w:rPr>
          <w:color w:val="auto"/>
          <w:highlight w:val="none"/>
        </w:rPr>
      </w:pPr>
    </w:p>
    <w:p w14:paraId="21254B77">
      <w:pPr>
        <w:rPr>
          <w:color w:val="auto"/>
          <w:highlight w:val="none"/>
        </w:rPr>
      </w:pPr>
    </w:p>
    <w:p w14:paraId="289DF31D">
      <w:pPr>
        <w:rPr>
          <w:color w:val="auto"/>
          <w:highlight w:val="none"/>
        </w:rPr>
      </w:pPr>
    </w:p>
    <w:p w14:paraId="051EF531">
      <w:pPr>
        <w:rPr>
          <w:color w:val="auto"/>
          <w:highlight w:val="none"/>
        </w:rPr>
      </w:pPr>
    </w:p>
    <w:p w14:paraId="01DA035F">
      <w:pPr>
        <w:rPr>
          <w:color w:val="auto"/>
          <w:highlight w:val="none"/>
        </w:rPr>
      </w:pPr>
    </w:p>
    <w:p w14:paraId="60610E5F">
      <w:pPr>
        <w:rPr>
          <w:color w:val="auto"/>
          <w:highlight w:val="none"/>
        </w:rPr>
      </w:pPr>
    </w:p>
    <w:p w14:paraId="566A600F">
      <w:pPr>
        <w:rPr>
          <w:color w:val="auto"/>
          <w:highlight w:val="none"/>
        </w:rPr>
      </w:pPr>
    </w:p>
    <w:p w14:paraId="772270C4">
      <w:pPr>
        <w:pStyle w:val="5"/>
        <w:rPr>
          <w:color w:val="auto"/>
          <w:highlight w:val="none"/>
        </w:rPr>
      </w:pPr>
    </w:p>
    <w:p w14:paraId="1942CB1A">
      <w:pPr>
        <w:rPr>
          <w:color w:val="auto"/>
          <w:highlight w:val="none"/>
        </w:rPr>
      </w:pPr>
    </w:p>
    <w:p w14:paraId="108EAAED">
      <w:pPr>
        <w:rPr>
          <w:color w:val="auto"/>
          <w:highlight w:val="none"/>
        </w:rPr>
      </w:pPr>
    </w:p>
    <w:p w14:paraId="7E015FAC">
      <w:pPr>
        <w:rPr>
          <w:color w:val="auto"/>
          <w:highlight w:val="none"/>
        </w:rPr>
      </w:pPr>
    </w:p>
    <w:p w14:paraId="2CF470F6">
      <w:pPr>
        <w:tabs>
          <w:tab w:val="left" w:pos="540"/>
        </w:tabs>
        <w:rPr>
          <w:rFonts w:hint="eastAsia" w:ascii="宋体" w:hAnsi="宋体"/>
          <w:b/>
          <w:color w:val="auto"/>
          <w:sz w:val="30"/>
          <w:szCs w:val="30"/>
          <w:highlight w:val="none"/>
        </w:rPr>
      </w:pPr>
    </w:p>
    <w:p w14:paraId="491E50E4">
      <w:pPr>
        <w:tabs>
          <w:tab w:val="left" w:pos="540"/>
        </w:tabs>
        <w:rPr>
          <w:rFonts w:hint="eastAsia" w:ascii="宋体" w:hAnsi="宋体"/>
          <w:b/>
          <w:color w:val="auto"/>
          <w:sz w:val="30"/>
          <w:szCs w:val="30"/>
          <w:highlight w:val="none"/>
        </w:rPr>
      </w:pPr>
      <w:r>
        <w:rPr>
          <w:rFonts w:hint="eastAsia" w:ascii="宋体" w:hAnsi="宋体"/>
          <w:b/>
          <w:color w:val="auto"/>
          <w:sz w:val="30"/>
          <w:szCs w:val="30"/>
          <w:highlight w:val="none"/>
        </w:rPr>
        <w:t>附件：</w:t>
      </w:r>
    </w:p>
    <w:p w14:paraId="23FD09AA">
      <w:pPr>
        <w:spacing w:line="360" w:lineRule="auto"/>
        <w:jc w:val="center"/>
        <w:rPr>
          <w:rFonts w:hint="eastAsia" w:ascii="宋体" w:hAnsi="宋体"/>
          <w:b/>
          <w:bCs/>
          <w:color w:val="auto"/>
          <w:sz w:val="30"/>
          <w:szCs w:val="30"/>
          <w:highlight w:val="none"/>
        </w:rPr>
      </w:pPr>
      <w:r>
        <w:rPr>
          <w:rFonts w:hint="eastAsia" w:ascii="宋体" w:hAnsi="宋体"/>
          <w:b/>
          <w:bCs/>
          <w:color w:val="auto"/>
          <w:sz w:val="30"/>
          <w:szCs w:val="30"/>
          <w:highlight w:val="none"/>
        </w:rPr>
        <w:t>供应商采购响应文件评分索引一览表</w:t>
      </w:r>
    </w:p>
    <w:p w14:paraId="0C17565A">
      <w:pPr>
        <w:spacing w:line="360" w:lineRule="auto"/>
        <w:jc w:val="center"/>
        <w:rPr>
          <w:rFonts w:hint="eastAsia" w:ascii="宋体" w:hAnsi="宋体"/>
          <w:color w:val="auto"/>
          <w:szCs w:val="21"/>
          <w:highlight w:val="none"/>
        </w:rPr>
      </w:pPr>
      <w:r>
        <w:rPr>
          <w:rFonts w:hint="eastAsia" w:ascii="宋体" w:hAnsi="宋体"/>
          <w:b/>
          <w:bCs/>
          <w:color w:val="auto"/>
          <w:sz w:val="30"/>
          <w:szCs w:val="30"/>
          <w:highlight w:val="none"/>
        </w:rPr>
        <w:t>（</w:t>
      </w:r>
      <w:r>
        <w:rPr>
          <w:rFonts w:hint="eastAsia" w:ascii="宋体" w:hAnsi="宋体"/>
          <w:b/>
          <w:color w:val="auto"/>
          <w:sz w:val="32"/>
          <w:szCs w:val="32"/>
          <w:highlight w:val="none"/>
        </w:rPr>
        <w:t>格式仅供参考</w:t>
      </w:r>
      <w:r>
        <w:rPr>
          <w:rFonts w:hint="eastAsia" w:ascii="宋体" w:hAnsi="宋体"/>
          <w:b/>
          <w:bCs/>
          <w:color w:val="auto"/>
          <w:sz w:val="30"/>
          <w:szCs w:val="30"/>
          <w:highlight w:val="none"/>
        </w:rPr>
        <w:t>）</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
      <w:tblGrid>
        <w:gridCol w:w="1114"/>
        <w:gridCol w:w="949"/>
        <w:gridCol w:w="6978"/>
        <w:gridCol w:w="1153"/>
      </w:tblGrid>
      <w:tr w14:paraId="46DBE5D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99" w:hRule="atLeast"/>
          <w:jc w:val="center"/>
        </w:trPr>
        <w:tc>
          <w:tcPr>
            <w:tcW w:w="1114" w:type="dxa"/>
            <w:vAlign w:val="center"/>
          </w:tcPr>
          <w:p w14:paraId="7A451C24">
            <w:pPr>
              <w:keepNext w:val="0"/>
              <w:keepLines w:val="0"/>
              <w:widowControl/>
              <w:suppressLineNumbers w:val="0"/>
              <w:spacing w:before="0" w:beforeAutospacing="0" w:after="0" w:afterAutospacing="0" w:line="300" w:lineRule="exact"/>
              <w:ind w:left="147" w:leftChars="70" w:right="84" w:rightChars="40"/>
              <w:rPr>
                <w:rFonts w:hint="eastAsia" w:ascii="宋体" w:hAnsi="宋体"/>
                <w:color w:val="auto"/>
                <w:szCs w:val="21"/>
                <w:highlight w:val="none"/>
              </w:rPr>
            </w:pPr>
            <w:r>
              <w:rPr>
                <w:rFonts w:hint="default" w:ascii="宋体" w:hAnsi="宋体"/>
                <w:color w:val="auto"/>
                <w:szCs w:val="21"/>
                <w:highlight w:val="none"/>
              </w:rPr>
              <w:t>评审内容</w:t>
            </w:r>
          </w:p>
        </w:tc>
        <w:tc>
          <w:tcPr>
            <w:tcW w:w="949" w:type="dxa"/>
            <w:vAlign w:val="center"/>
          </w:tcPr>
          <w:p w14:paraId="43077EF5">
            <w:pPr>
              <w:keepNext w:val="0"/>
              <w:keepLines w:val="0"/>
              <w:widowControl/>
              <w:suppressLineNumbers w:val="0"/>
              <w:spacing w:before="0" w:beforeAutospacing="0" w:after="0" w:afterAutospacing="0" w:line="400" w:lineRule="exact"/>
              <w:ind w:left="-29" w:leftChars="-14" w:right="-88" w:rightChars="-42"/>
              <w:jc w:val="center"/>
              <w:rPr>
                <w:rFonts w:hint="eastAsia" w:ascii="宋体" w:hAnsi="宋体"/>
                <w:color w:val="auto"/>
                <w:szCs w:val="21"/>
                <w:highlight w:val="none"/>
              </w:rPr>
            </w:pPr>
            <w:r>
              <w:rPr>
                <w:rFonts w:hint="default" w:ascii="宋体" w:hAnsi="宋体"/>
                <w:color w:val="auto"/>
                <w:szCs w:val="21"/>
                <w:highlight w:val="none"/>
              </w:rPr>
              <w:t>分值</w:t>
            </w:r>
          </w:p>
        </w:tc>
        <w:tc>
          <w:tcPr>
            <w:tcW w:w="6978" w:type="dxa"/>
            <w:vAlign w:val="center"/>
          </w:tcPr>
          <w:p w14:paraId="426D9E95">
            <w:pPr>
              <w:keepNext w:val="0"/>
              <w:keepLines w:val="0"/>
              <w:widowControl/>
              <w:suppressLineNumbers w:val="0"/>
              <w:spacing w:before="0" w:beforeAutospacing="0" w:after="0" w:afterAutospacing="0" w:line="400" w:lineRule="exact"/>
              <w:ind w:left="-527" w:right="0" w:firstLine="527"/>
              <w:jc w:val="center"/>
              <w:rPr>
                <w:rFonts w:hint="eastAsia" w:ascii="宋体" w:hAnsi="宋体" w:cs="宋体"/>
                <w:color w:val="auto"/>
                <w:kern w:val="0"/>
                <w:szCs w:val="21"/>
                <w:highlight w:val="none"/>
              </w:rPr>
            </w:pPr>
            <w:r>
              <w:rPr>
                <w:rFonts w:hint="default" w:ascii="宋体" w:hAnsi="宋体" w:cs="宋体"/>
                <w:color w:val="auto"/>
                <w:kern w:val="0"/>
                <w:szCs w:val="21"/>
                <w:highlight w:val="none"/>
              </w:rPr>
              <w:t>评分标准</w:t>
            </w:r>
            <w:r>
              <w:rPr>
                <w:rFonts w:hint="eastAsia" w:ascii="宋体" w:hAnsi="宋体" w:cs="宋体"/>
                <w:color w:val="auto"/>
                <w:kern w:val="0"/>
                <w:szCs w:val="21"/>
                <w:highlight w:val="none"/>
              </w:rPr>
              <w:t>及自评依据</w:t>
            </w:r>
          </w:p>
        </w:tc>
        <w:tc>
          <w:tcPr>
            <w:tcW w:w="1153" w:type="dxa"/>
            <w:vAlign w:val="center"/>
          </w:tcPr>
          <w:p w14:paraId="02043AB4">
            <w:pPr>
              <w:keepNext w:val="0"/>
              <w:keepLines w:val="0"/>
              <w:widowControl/>
              <w:suppressLineNumbers w:val="0"/>
              <w:spacing w:before="0" w:beforeAutospacing="0" w:after="0" w:afterAutospacing="0" w:line="300" w:lineRule="exact"/>
              <w:ind w:left="-29" w:leftChars="-14" w:right="-88" w:rightChars="-42"/>
              <w:jc w:val="center"/>
              <w:rPr>
                <w:rFonts w:hint="eastAsia" w:ascii="宋体" w:hAnsi="宋体"/>
                <w:color w:val="auto"/>
                <w:szCs w:val="21"/>
                <w:highlight w:val="none"/>
              </w:rPr>
            </w:pPr>
            <w:r>
              <w:rPr>
                <w:rFonts w:hint="eastAsia" w:ascii="宋体" w:hAnsi="宋体"/>
                <w:color w:val="auto"/>
                <w:szCs w:val="21"/>
                <w:highlight w:val="none"/>
              </w:rPr>
              <w:t>相应内容所在投标文件页码</w:t>
            </w:r>
          </w:p>
        </w:tc>
      </w:tr>
      <w:tr w14:paraId="4CFF4B9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2" w:hRule="atLeast"/>
          <w:jc w:val="center"/>
        </w:trPr>
        <w:tc>
          <w:tcPr>
            <w:tcW w:w="1114" w:type="dxa"/>
            <w:vMerge w:val="restart"/>
            <w:vAlign w:val="center"/>
          </w:tcPr>
          <w:p w14:paraId="53256FF6">
            <w:pPr>
              <w:keepNext w:val="0"/>
              <w:keepLines w:val="0"/>
              <w:widowControl/>
              <w:suppressLineNumbers w:val="0"/>
              <w:spacing w:before="0" w:beforeAutospacing="0" w:after="0" w:afterAutospacing="0" w:line="300" w:lineRule="exact"/>
              <w:ind w:left="147" w:leftChars="70" w:right="84" w:rightChars="40"/>
              <w:rPr>
                <w:rFonts w:hint="eastAsia" w:ascii="宋体" w:hAnsi="宋体"/>
                <w:b/>
                <w:color w:val="auto"/>
                <w:szCs w:val="21"/>
                <w:highlight w:val="none"/>
              </w:rPr>
            </w:pPr>
            <w:r>
              <w:rPr>
                <w:rFonts w:hint="eastAsia" w:ascii="宋体" w:hAnsi="宋体"/>
                <w:color w:val="auto"/>
                <w:szCs w:val="21"/>
                <w:highlight w:val="none"/>
              </w:rPr>
              <w:t>技术分</w:t>
            </w:r>
          </w:p>
        </w:tc>
        <w:tc>
          <w:tcPr>
            <w:tcW w:w="949" w:type="dxa"/>
            <w:vAlign w:val="center"/>
          </w:tcPr>
          <w:p w14:paraId="083D6C59">
            <w:pPr>
              <w:keepNext w:val="0"/>
              <w:keepLines w:val="0"/>
              <w:widowControl/>
              <w:suppressLineNumbers w:val="0"/>
              <w:spacing w:before="0" w:beforeAutospacing="0" w:after="0" w:afterAutospacing="0" w:line="400" w:lineRule="exact"/>
              <w:ind w:left="118" w:leftChars="56" w:right="84" w:rightChars="40"/>
              <w:jc w:val="center"/>
              <w:rPr>
                <w:rFonts w:hint="eastAsia" w:ascii="宋体" w:hAnsi="宋体"/>
                <w:color w:val="auto"/>
                <w:szCs w:val="21"/>
                <w:highlight w:val="none"/>
              </w:rPr>
            </w:pPr>
          </w:p>
        </w:tc>
        <w:tc>
          <w:tcPr>
            <w:tcW w:w="6978" w:type="dxa"/>
            <w:vAlign w:val="center"/>
          </w:tcPr>
          <w:p w14:paraId="6DDAC45E">
            <w:pPr>
              <w:keepNext w:val="0"/>
              <w:keepLines w:val="0"/>
              <w:widowControl/>
              <w:suppressLineNumbers w:val="0"/>
              <w:spacing w:before="0" w:beforeAutospacing="0" w:after="0" w:afterAutospacing="0" w:line="400" w:lineRule="exact"/>
              <w:ind w:left="118" w:leftChars="56" w:right="84" w:rightChars="40"/>
              <w:rPr>
                <w:rFonts w:hint="eastAsia" w:ascii="宋体" w:hAnsi="宋体"/>
                <w:color w:val="auto"/>
                <w:szCs w:val="21"/>
                <w:highlight w:val="none"/>
              </w:rPr>
            </w:pPr>
          </w:p>
        </w:tc>
        <w:tc>
          <w:tcPr>
            <w:tcW w:w="1153" w:type="dxa"/>
          </w:tcPr>
          <w:p w14:paraId="41B87035">
            <w:pPr>
              <w:keepNext w:val="0"/>
              <w:keepLines w:val="0"/>
              <w:widowControl/>
              <w:suppressLineNumbers w:val="0"/>
              <w:spacing w:before="0" w:beforeAutospacing="0" w:after="0" w:afterAutospacing="0" w:line="300" w:lineRule="exact"/>
              <w:ind w:left="-29" w:leftChars="-14" w:right="-88" w:rightChars="-42"/>
              <w:jc w:val="center"/>
              <w:rPr>
                <w:rFonts w:hint="eastAsia" w:ascii="宋体" w:hAnsi="宋体"/>
                <w:color w:val="auto"/>
                <w:szCs w:val="21"/>
                <w:highlight w:val="none"/>
              </w:rPr>
            </w:pPr>
          </w:p>
        </w:tc>
      </w:tr>
      <w:tr w14:paraId="0A431D5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2" w:hRule="atLeast"/>
          <w:jc w:val="center"/>
        </w:trPr>
        <w:tc>
          <w:tcPr>
            <w:tcW w:w="1114" w:type="dxa"/>
            <w:vMerge w:val="continue"/>
            <w:vAlign w:val="center"/>
          </w:tcPr>
          <w:p w14:paraId="627A5D23">
            <w:pPr>
              <w:keepNext w:val="0"/>
              <w:keepLines w:val="0"/>
              <w:widowControl/>
              <w:suppressLineNumbers w:val="0"/>
              <w:spacing w:before="0" w:beforeAutospacing="0" w:after="0" w:afterAutospacing="0" w:line="300" w:lineRule="exact"/>
              <w:ind w:left="147" w:leftChars="70" w:right="84" w:rightChars="40"/>
              <w:rPr>
                <w:rFonts w:hint="eastAsia" w:ascii="宋体" w:hAnsi="宋体"/>
                <w:color w:val="auto"/>
                <w:szCs w:val="21"/>
                <w:highlight w:val="none"/>
              </w:rPr>
            </w:pPr>
          </w:p>
        </w:tc>
        <w:tc>
          <w:tcPr>
            <w:tcW w:w="949" w:type="dxa"/>
            <w:vAlign w:val="center"/>
          </w:tcPr>
          <w:p w14:paraId="185F2B0F">
            <w:pPr>
              <w:keepNext w:val="0"/>
              <w:keepLines w:val="0"/>
              <w:widowControl/>
              <w:suppressLineNumbers w:val="0"/>
              <w:spacing w:before="0" w:beforeAutospacing="0" w:after="0" w:afterAutospacing="0" w:line="400" w:lineRule="exact"/>
              <w:ind w:left="118" w:leftChars="56" w:right="84" w:rightChars="40"/>
              <w:jc w:val="center"/>
              <w:rPr>
                <w:rFonts w:hint="eastAsia" w:ascii="宋体" w:hAnsi="宋体"/>
                <w:color w:val="auto"/>
                <w:szCs w:val="21"/>
                <w:highlight w:val="none"/>
              </w:rPr>
            </w:pPr>
          </w:p>
        </w:tc>
        <w:tc>
          <w:tcPr>
            <w:tcW w:w="6978" w:type="dxa"/>
            <w:vAlign w:val="center"/>
          </w:tcPr>
          <w:p w14:paraId="12A88B12">
            <w:pPr>
              <w:keepNext w:val="0"/>
              <w:keepLines w:val="0"/>
              <w:widowControl/>
              <w:suppressLineNumbers w:val="0"/>
              <w:spacing w:before="0" w:beforeAutospacing="0" w:after="0" w:afterAutospacing="0" w:line="400" w:lineRule="exact"/>
              <w:ind w:left="118" w:leftChars="56" w:right="84" w:rightChars="40"/>
              <w:rPr>
                <w:rFonts w:hint="eastAsia" w:ascii="宋体" w:hAnsi="宋体"/>
                <w:color w:val="auto"/>
                <w:szCs w:val="21"/>
                <w:highlight w:val="none"/>
              </w:rPr>
            </w:pPr>
          </w:p>
        </w:tc>
        <w:tc>
          <w:tcPr>
            <w:tcW w:w="1153" w:type="dxa"/>
          </w:tcPr>
          <w:p w14:paraId="11DA9169">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4B93F42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2" w:hRule="atLeast"/>
          <w:jc w:val="center"/>
        </w:trPr>
        <w:tc>
          <w:tcPr>
            <w:tcW w:w="1114" w:type="dxa"/>
            <w:vMerge w:val="continue"/>
            <w:vAlign w:val="center"/>
          </w:tcPr>
          <w:p w14:paraId="770EBFF6">
            <w:pPr>
              <w:keepNext w:val="0"/>
              <w:keepLines w:val="0"/>
              <w:widowControl/>
              <w:suppressLineNumbers w:val="0"/>
              <w:spacing w:before="0" w:beforeAutospacing="0" w:after="0" w:afterAutospacing="0" w:line="300" w:lineRule="exact"/>
              <w:ind w:left="147" w:leftChars="70" w:right="84" w:rightChars="40"/>
              <w:rPr>
                <w:rFonts w:hint="eastAsia" w:ascii="宋体" w:hAnsi="宋体"/>
                <w:color w:val="auto"/>
                <w:szCs w:val="21"/>
                <w:highlight w:val="none"/>
              </w:rPr>
            </w:pPr>
          </w:p>
        </w:tc>
        <w:tc>
          <w:tcPr>
            <w:tcW w:w="949" w:type="dxa"/>
            <w:vAlign w:val="center"/>
          </w:tcPr>
          <w:p w14:paraId="3D321E85">
            <w:pPr>
              <w:keepNext w:val="0"/>
              <w:keepLines w:val="0"/>
              <w:widowControl/>
              <w:suppressLineNumbers w:val="0"/>
              <w:spacing w:before="0" w:beforeAutospacing="0" w:after="0" w:afterAutospacing="0" w:line="400" w:lineRule="exact"/>
              <w:ind w:left="118" w:leftChars="56" w:right="84" w:rightChars="40"/>
              <w:jc w:val="center"/>
              <w:rPr>
                <w:rFonts w:hint="eastAsia" w:ascii="宋体" w:hAnsi="宋体"/>
                <w:color w:val="auto"/>
                <w:szCs w:val="21"/>
                <w:highlight w:val="none"/>
              </w:rPr>
            </w:pPr>
          </w:p>
        </w:tc>
        <w:tc>
          <w:tcPr>
            <w:tcW w:w="6978" w:type="dxa"/>
            <w:vAlign w:val="center"/>
          </w:tcPr>
          <w:p w14:paraId="491363E8">
            <w:pPr>
              <w:keepNext w:val="0"/>
              <w:keepLines w:val="0"/>
              <w:widowControl/>
              <w:suppressLineNumbers w:val="0"/>
              <w:spacing w:before="0" w:beforeAutospacing="0" w:after="0" w:afterAutospacing="0" w:line="400" w:lineRule="exact"/>
              <w:ind w:left="118" w:leftChars="56" w:right="84" w:rightChars="40"/>
              <w:rPr>
                <w:rFonts w:hint="eastAsia" w:ascii="宋体" w:hAnsi="宋体"/>
                <w:color w:val="auto"/>
                <w:szCs w:val="21"/>
                <w:highlight w:val="none"/>
              </w:rPr>
            </w:pPr>
          </w:p>
        </w:tc>
        <w:tc>
          <w:tcPr>
            <w:tcW w:w="1153" w:type="dxa"/>
          </w:tcPr>
          <w:p w14:paraId="2F222F21">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2D45CDE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2" w:hRule="atLeast"/>
          <w:jc w:val="center"/>
        </w:trPr>
        <w:tc>
          <w:tcPr>
            <w:tcW w:w="1114" w:type="dxa"/>
            <w:vMerge w:val="continue"/>
            <w:vAlign w:val="center"/>
          </w:tcPr>
          <w:p w14:paraId="03BBADF9">
            <w:pPr>
              <w:keepNext w:val="0"/>
              <w:keepLines w:val="0"/>
              <w:widowControl/>
              <w:suppressLineNumbers w:val="0"/>
              <w:spacing w:before="0" w:beforeAutospacing="0" w:after="0" w:afterAutospacing="0" w:line="300" w:lineRule="exact"/>
              <w:ind w:left="147" w:leftChars="70" w:right="84" w:rightChars="40"/>
              <w:rPr>
                <w:rFonts w:hint="eastAsia" w:ascii="宋体" w:hAnsi="宋体"/>
                <w:color w:val="auto"/>
                <w:szCs w:val="21"/>
                <w:highlight w:val="none"/>
              </w:rPr>
            </w:pPr>
          </w:p>
        </w:tc>
        <w:tc>
          <w:tcPr>
            <w:tcW w:w="949" w:type="dxa"/>
            <w:vAlign w:val="center"/>
          </w:tcPr>
          <w:p w14:paraId="72BDF7CD">
            <w:pPr>
              <w:keepNext w:val="0"/>
              <w:keepLines w:val="0"/>
              <w:widowControl/>
              <w:suppressLineNumbers w:val="0"/>
              <w:spacing w:before="0" w:beforeAutospacing="0" w:after="0" w:afterAutospacing="0" w:line="400" w:lineRule="exact"/>
              <w:ind w:left="118" w:leftChars="56" w:right="84" w:rightChars="40"/>
              <w:jc w:val="center"/>
              <w:rPr>
                <w:rFonts w:hint="eastAsia" w:ascii="宋体" w:hAnsi="宋体"/>
                <w:color w:val="auto"/>
                <w:szCs w:val="21"/>
                <w:highlight w:val="none"/>
              </w:rPr>
            </w:pPr>
          </w:p>
        </w:tc>
        <w:tc>
          <w:tcPr>
            <w:tcW w:w="6978" w:type="dxa"/>
            <w:vAlign w:val="center"/>
          </w:tcPr>
          <w:p w14:paraId="3CA9DED8">
            <w:pPr>
              <w:keepNext w:val="0"/>
              <w:keepLines w:val="0"/>
              <w:widowControl/>
              <w:suppressLineNumbers w:val="0"/>
              <w:spacing w:before="0" w:beforeAutospacing="0" w:after="0" w:afterAutospacing="0" w:line="400" w:lineRule="exact"/>
              <w:ind w:left="118" w:leftChars="56" w:right="84" w:rightChars="40"/>
              <w:rPr>
                <w:rFonts w:hint="eastAsia" w:ascii="宋体" w:hAnsi="宋体"/>
                <w:color w:val="auto"/>
                <w:szCs w:val="21"/>
                <w:highlight w:val="none"/>
              </w:rPr>
            </w:pPr>
          </w:p>
        </w:tc>
        <w:tc>
          <w:tcPr>
            <w:tcW w:w="1153" w:type="dxa"/>
          </w:tcPr>
          <w:p w14:paraId="05BC4361">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4E41BE1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2" w:hRule="atLeast"/>
          <w:jc w:val="center"/>
        </w:trPr>
        <w:tc>
          <w:tcPr>
            <w:tcW w:w="1114" w:type="dxa"/>
            <w:vMerge w:val="continue"/>
            <w:vAlign w:val="center"/>
          </w:tcPr>
          <w:p w14:paraId="6E1C4C0B">
            <w:pPr>
              <w:keepNext w:val="0"/>
              <w:keepLines w:val="0"/>
              <w:widowControl/>
              <w:suppressLineNumbers w:val="0"/>
              <w:spacing w:before="0" w:beforeAutospacing="0" w:after="0" w:afterAutospacing="0" w:line="300" w:lineRule="exact"/>
              <w:ind w:left="147" w:leftChars="70" w:right="84" w:rightChars="40"/>
              <w:rPr>
                <w:rFonts w:hint="eastAsia" w:ascii="宋体" w:hAnsi="宋体"/>
                <w:color w:val="auto"/>
                <w:szCs w:val="21"/>
                <w:highlight w:val="none"/>
              </w:rPr>
            </w:pPr>
          </w:p>
        </w:tc>
        <w:tc>
          <w:tcPr>
            <w:tcW w:w="949" w:type="dxa"/>
            <w:vAlign w:val="center"/>
          </w:tcPr>
          <w:p w14:paraId="4AB95088">
            <w:pPr>
              <w:keepNext w:val="0"/>
              <w:keepLines w:val="0"/>
              <w:widowControl/>
              <w:suppressLineNumbers w:val="0"/>
              <w:spacing w:before="0" w:beforeAutospacing="0" w:after="0" w:afterAutospacing="0" w:line="400" w:lineRule="exact"/>
              <w:ind w:left="118" w:leftChars="56" w:right="84" w:rightChars="40"/>
              <w:jc w:val="center"/>
              <w:rPr>
                <w:rFonts w:hint="eastAsia" w:ascii="宋体" w:hAnsi="宋体"/>
                <w:color w:val="auto"/>
                <w:szCs w:val="21"/>
                <w:highlight w:val="none"/>
              </w:rPr>
            </w:pPr>
          </w:p>
        </w:tc>
        <w:tc>
          <w:tcPr>
            <w:tcW w:w="6978" w:type="dxa"/>
            <w:vAlign w:val="center"/>
          </w:tcPr>
          <w:p w14:paraId="0A81E7D0">
            <w:pPr>
              <w:keepNext w:val="0"/>
              <w:keepLines w:val="0"/>
              <w:widowControl/>
              <w:suppressLineNumbers w:val="0"/>
              <w:spacing w:before="0" w:beforeAutospacing="0" w:after="0" w:afterAutospacing="0" w:line="400" w:lineRule="exact"/>
              <w:ind w:left="118" w:leftChars="56" w:right="84" w:rightChars="40"/>
              <w:rPr>
                <w:rFonts w:hint="eastAsia" w:ascii="宋体" w:hAnsi="宋体" w:cs="宋体"/>
                <w:color w:val="auto"/>
                <w:szCs w:val="21"/>
                <w:highlight w:val="none"/>
              </w:rPr>
            </w:pPr>
          </w:p>
        </w:tc>
        <w:tc>
          <w:tcPr>
            <w:tcW w:w="1153" w:type="dxa"/>
          </w:tcPr>
          <w:p w14:paraId="682E1A9F">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116DEA0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2" w:hRule="atLeast"/>
          <w:jc w:val="center"/>
        </w:trPr>
        <w:tc>
          <w:tcPr>
            <w:tcW w:w="1114" w:type="dxa"/>
            <w:vMerge w:val="continue"/>
            <w:vAlign w:val="center"/>
          </w:tcPr>
          <w:p w14:paraId="1CB1BF27">
            <w:pPr>
              <w:keepNext w:val="0"/>
              <w:keepLines w:val="0"/>
              <w:widowControl/>
              <w:suppressLineNumbers w:val="0"/>
              <w:spacing w:before="0" w:beforeAutospacing="0" w:after="0" w:afterAutospacing="0" w:line="300" w:lineRule="exact"/>
              <w:ind w:left="147" w:leftChars="70" w:right="84" w:rightChars="40"/>
              <w:rPr>
                <w:rFonts w:hint="eastAsia" w:ascii="宋体" w:hAnsi="宋体"/>
                <w:color w:val="auto"/>
                <w:szCs w:val="21"/>
                <w:highlight w:val="none"/>
              </w:rPr>
            </w:pPr>
          </w:p>
        </w:tc>
        <w:tc>
          <w:tcPr>
            <w:tcW w:w="949" w:type="dxa"/>
            <w:vAlign w:val="center"/>
          </w:tcPr>
          <w:p w14:paraId="4B2C1735">
            <w:pPr>
              <w:keepNext w:val="0"/>
              <w:keepLines w:val="0"/>
              <w:widowControl/>
              <w:suppressLineNumbers w:val="0"/>
              <w:spacing w:before="0" w:beforeAutospacing="0" w:after="0" w:afterAutospacing="0" w:line="400" w:lineRule="exact"/>
              <w:ind w:left="118" w:leftChars="56" w:right="84" w:rightChars="40"/>
              <w:jc w:val="center"/>
              <w:rPr>
                <w:rFonts w:hint="eastAsia" w:ascii="宋体" w:hAnsi="宋体"/>
                <w:color w:val="auto"/>
                <w:szCs w:val="21"/>
                <w:highlight w:val="none"/>
              </w:rPr>
            </w:pPr>
          </w:p>
        </w:tc>
        <w:tc>
          <w:tcPr>
            <w:tcW w:w="6978" w:type="dxa"/>
            <w:vAlign w:val="center"/>
          </w:tcPr>
          <w:p w14:paraId="25BD2B13">
            <w:pPr>
              <w:keepNext w:val="0"/>
              <w:keepLines w:val="0"/>
              <w:widowControl/>
              <w:suppressLineNumbers w:val="0"/>
              <w:spacing w:before="0" w:beforeAutospacing="0" w:after="0" w:afterAutospacing="0" w:line="400" w:lineRule="exact"/>
              <w:ind w:left="118" w:leftChars="56" w:right="84" w:rightChars="40"/>
              <w:rPr>
                <w:rFonts w:hint="eastAsia" w:ascii="宋体" w:hAnsi="宋体" w:cs="宋体"/>
                <w:color w:val="auto"/>
                <w:szCs w:val="21"/>
                <w:highlight w:val="none"/>
              </w:rPr>
            </w:pPr>
          </w:p>
        </w:tc>
        <w:tc>
          <w:tcPr>
            <w:tcW w:w="1153" w:type="dxa"/>
          </w:tcPr>
          <w:p w14:paraId="67F3B3A5">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5B62C72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2" w:hRule="atLeast"/>
          <w:jc w:val="center"/>
        </w:trPr>
        <w:tc>
          <w:tcPr>
            <w:tcW w:w="1114" w:type="dxa"/>
            <w:vMerge w:val="continue"/>
            <w:vAlign w:val="center"/>
          </w:tcPr>
          <w:p w14:paraId="41CF6F9F">
            <w:pPr>
              <w:keepNext w:val="0"/>
              <w:keepLines w:val="0"/>
              <w:widowControl/>
              <w:suppressLineNumbers w:val="0"/>
              <w:spacing w:before="0" w:beforeAutospacing="0" w:after="0" w:afterAutospacing="0" w:line="300" w:lineRule="exact"/>
              <w:ind w:left="147" w:leftChars="70" w:right="84" w:rightChars="40"/>
              <w:rPr>
                <w:rFonts w:hint="eastAsia" w:ascii="宋体" w:hAnsi="宋体"/>
                <w:color w:val="auto"/>
                <w:szCs w:val="21"/>
                <w:highlight w:val="none"/>
              </w:rPr>
            </w:pPr>
          </w:p>
        </w:tc>
        <w:tc>
          <w:tcPr>
            <w:tcW w:w="949" w:type="dxa"/>
            <w:vAlign w:val="center"/>
          </w:tcPr>
          <w:p w14:paraId="0C2DC7EB">
            <w:pPr>
              <w:keepNext w:val="0"/>
              <w:keepLines w:val="0"/>
              <w:widowControl/>
              <w:suppressLineNumbers w:val="0"/>
              <w:spacing w:before="0" w:beforeAutospacing="0" w:after="0" w:afterAutospacing="0" w:line="400" w:lineRule="exact"/>
              <w:ind w:left="118" w:leftChars="56" w:right="84" w:rightChars="40"/>
              <w:jc w:val="center"/>
              <w:rPr>
                <w:rFonts w:hint="eastAsia" w:ascii="宋体" w:hAnsi="宋体"/>
                <w:color w:val="auto"/>
                <w:szCs w:val="21"/>
                <w:highlight w:val="none"/>
              </w:rPr>
            </w:pPr>
          </w:p>
        </w:tc>
        <w:tc>
          <w:tcPr>
            <w:tcW w:w="6978" w:type="dxa"/>
            <w:vAlign w:val="center"/>
          </w:tcPr>
          <w:p w14:paraId="1378C783">
            <w:pPr>
              <w:keepNext w:val="0"/>
              <w:keepLines w:val="0"/>
              <w:widowControl/>
              <w:suppressLineNumbers w:val="0"/>
              <w:spacing w:before="0" w:beforeAutospacing="0" w:after="0" w:afterAutospacing="0" w:line="400" w:lineRule="exact"/>
              <w:ind w:left="118" w:leftChars="56" w:right="84" w:rightChars="40"/>
              <w:rPr>
                <w:rFonts w:hint="eastAsia" w:ascii="宋体" w:hAnsi="宋体"/>
                <w:color w:val="auto"/>
                <w:szCs w:val="21"/>
                <w:highlight w:val="none"/>
              </w:rPr>
            </w:pPr>
          </w:p>
        </w:tc>
        <w:tc>
          <w:tcPr>
            <w:tcW w:w="1153" w:type="dxa"/>
          </w:tcPr>
          <w:p w14:paraId="3D293818">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7B82843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48" w:hRule="atLeast"/>
          <w:jc w:val="center"/>
        </w:trPr>
        <w:tc>
          <w:tcPr>
            <w:tcW w:w="1114" w:type="dxa"/>
            <w:vMerge w:val="restart"/>
            <w:vAlign w:val="center"/>
          </w:tcPr>
          <w:p w14:paraId="3F09B721">
            <w:pPr>
              <w:keepNext w:val="0"/>
              <w:keepLines w:val="0"/>
              <w:suppressLineNumbers w:val="0"/>
              <w:spacing w:before="0" w:beforeAutospacing="0" w:after="0" w:afterAutospacing="0"/>
              <w:ind w:left="0" w:right="0"/>
              <w:jc w:val="center"/>
              <w:rPr>
                <w:rFonts w:hint="eastAsia" w:ascii="宋体" w:hAnsi="宋体"/>
                <w:color w:val="auto"/>
                <w:kern w:val="0"/>
                <w:szCs w:val="21"/>
                <w:highlight w:val="none"/>
              </w:rPr>
            </w:pPr>
            <w:r>
              <w:rPr>
                <w:rFonts w:hint="eastAsia" w:ascii="宋体" w:hAnsi="宋体" w:cs="Arial"/>
                <w:snapToGrid w:val="0"/>
                <w:color w:val="auto"/>
                <w:kern w:val="0"/>
                <w:sz w:val="22"/>
                <w:highlight w:val="none"/>
              </w:rPr>
              <w:t>商务、资信及其他分</w:t>
            </w:r>
          </w:p>
          <w:p w14:paraId="64D6B9A4">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c>
          <w:tcPr>
            <w:tcW w:w="949" w:type="dxa"/>
            <w:tcBorders>
              <w:right w:val="single" w:color="auto" w:sz="4" w:space="0"/>
            </w:tcBorders>
            <w:vAlign w:val="center"/>
          </w:tcPr>
          <w:p w14:paraId="542C847C">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6978" w:type="dxa"/>
            <w:tcBorders>
              <w:left w:val="single" w:color="auto" w:sz="4" w:space="0"/>
            </w:tcBorders>
            <w:vAlign w:val="center"/>
          </w:tcPr>
          <w:p w14:paraId="057FE436">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1153" w:type="dxa"/>
          </w:tcPr>
          <w:p w14:paraId="478DF969">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2B007AB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99" w:hRule="atLeast"/>
          <w:jc w:val="center"/>
        </w:trPr>
        <w:tc>
          <w:tcPr>
            <w:tcW w:w="1114" w:type="dxa"/>
            <w:vMerge w:val="continue"/>
            <w:vAlign w:val="center"/>
          </w:tcPr>
          <w:p w14:paraId="303E9724">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c>
          <w:tcPr>
            <w:tcW w:w="949" w:type="dxa"/>
            <w:tcBorders>
              <w:right w:val="single" w:color="auto" w:sz="4" w:space="0"/>
            </w:tcBorders>
            <w:vAlign w:val="center"/>
          </w:tcPr>
          <w:p w14:paraId="1CA395C7">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6978" w:type="dxa"/>
            <w:tcBorders>
              <w:left w:val="single" w:color="auto" w:sz="4" w:space="0"/>
            </w:tcBorders>
            <w:vAlign w:val="center"/>
          </w:tcPr>
          <w:p w14:paraId="26EE75B0">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1153" w:type="dxa"/>
          </w:tcPr>
          <w:p w14:paraId="28B8692B">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64EB32D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672" w:hRule="atLeast"/>
          <w:jc w:val="center"/>
        </w:trPr>
        <w:tc>
          <w:tcPr>
            <w:tcW w:w="1114" w:type="dxa"/>
            <w:vMerge w:val="continue"/>
            <w:vAlign w:val="center"/>
          </w:tcPr>
          <w:p w14:paraId="26F17EF7">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c>
          <w:tcPr>
            <w:tcW w:w="949" w:type="dxa"/>
            <w:tcBorders>
              <w:right w:val="single" w:color="auto" w:sz="4" w:space="0"/>
            </w:tcBorders>
            <w:vAlign w:val="center"/>
          </w:tcPr>
          <w:p w14:paraId="0616DD62">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6978" w:type="dxa"/>
            <w:tcBorders>
              <w:left w:val="single" w:color="auto" w:sz="4" w:space="0"/>
            </w:tcBorders>
            <w:vAlign w:val="center"/>
          </w:tcPr>
          <w:p w14:paraId="0AA649CD">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1153" w:type="dxa"/>
          </w:tcPr>
          <w:p w14:paraId="576B4C49">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06B6C2B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82" w:hRule="atLeast"/>
          <w:jc w:val="center"/>
        </w:trPr>
        <w:tc>
          <w:tcPr>
            <w:tcW w:w="1114" w:type="dxa"/>
            <w:vMerge w:val="continue"/>
            <w:vAlign w:val="center"/>
          </w:tcPr>
          <w:p w14:paraId="6C398649">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c>
          <w:tcPr>
            <w:tcW w:w="949" w:type="dxa"/>
            <w:tcBorders>
              <w:right w:val="single" w:color="auto" w:sz="4" w:space="0"/>
            </w:tcBorders>
            <w:vAlign w:val="center"/>
          </w:tcPr>
          <w:p w14:paraId="691D1F81">
            <w:pPr>
              <w:keepNext w:val="0"/>
              <w:keepLines w:val="0"/>
              <w:suppressLineNumbers w:val="0"/>
              <w:spacing w:before="0" w:beforeAutospacing="0" w:after="0" w:afterAutospacing="0"/>
              <w:ind w:left="0" w:right="0"/>
              <w:rPr>
                <w:rFonts w:hint="eastAsia" w:ascii="宋体" w:hAnsi="宋体"/>
                <w:color w:val="auto"/>
                <w:szCs w:val="21"/>
                <w:highlight w:val="none"/>
              </w:rPr>
            </w:pPr>
          </w:p>
        </w:tc>
        <w:tc>
          <w:tcPr>
            <w:tcW w:w="6978" w:type="dxa"/>
            <w:tcBorders>
              <w:left w:val="single" w:color="auto" w:sz="4" w:space="0"/>
            </w:tcBorders>
            <w:vAlign w:val="center"/>
          </w:tcPr>
          <w:p w14:paraId="2D8A1D27">
            <w:pPr>
              <w:keepNext w:val="0"/>
              <w:keepLines w:val="0"/>
              <w:suppressLineNumbers w:val="0"/>
              <w:spacing w:before="0" w:beforeAutospacing="0" w:after="0" w:afterAutospacing="0"/>
              <w:ind w:left="0" w:right="0"/>
              <w:rPr>
                <w:rFonts w:hint="eastAsia" w:ascii="宋体" w:hAnsi="宋体"/>
                <w:color w:val="auto"/>
                <w:szCs w:val="21"/>
                <w:highlight w:val="none"/>
              </w:rPr>
            </w:pPr>
          </w:p>
        </w:tc>
        <w:tc>
          <w:tcPr>
            <w:tcW w:w="1153" w:type="dxa"/>
          </w:tcPr>
          <w:p w14:paraId="6050D020">
            <w:pPr>
              <w:keepNext w:val="0"/>
              <w:keepLines w:val="0"/>
              <w:widowControl/>
              <w:suppressLineNumbers w:val="0"/>
              <w:spacing w:before="0" w:beforeAutospacing="0" w:after="0" w:afterAutospacing="0" w:line="300" w:lineRule="exact"/>
              <w:ind w:left="118" w:leftChars="56" w:right="84" w:rightChars="40"/>
              <w:rPr>
                <w:rFonts w:hint="eastAsia" w:ascii="宋体" w:hAnsi="宋体" w:cs="宋体"/>
                <w:color w:val="auto"/>
                <w:szCs w:val="21"/>
                <w:highlight w:val="none"/>
              </w:rPr>
            </w:pPr>
          </w:p>
        </w:tc>
      </w:tr>
      <w:tr w14:paraId="32A0E81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16" w:hRule="atLeast"/>
          <w:jc w:val="center"/>
        </w:trPr>
        <w:tc>
          <w:tcPr>
            <w:tcW w:w="1114" w:type="dxa"/>
            <w:vMerge w:val="continue"/>
            <w:vAlign w:val="center"/>
          </w:tcPr>
          <w:p w14:paraId="591A08D3">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c>
          <w:tcPr>
            <w:tcW w:w="949" w:type="dxa"/>
            <w:tcBorders>
              <w:right w:val="single" w:color="auto" w:sz="4" w:space="0"/>
            </w:tcBorders>
            <w:vAlign w:val="center"/>
          </w:tcPr>
          <w:p w14:paraId="7C33DB91">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6978" w:type="dxa"/>
            <w:tcBorders>
              <w:left w:val="single" w:color="auto" w:sz="4" w:space="0"/>
            </w:tcBorders>
            <w:vAlign w:val="center"/>
          </w:tcPr>
          <w:p w14:paraId="295651DD">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1153" w:type="dxa"/>
          </w:tcPr>
          <w:p w14:paraId="502B6227">
            <w:pPr>
              <w:keepNext w:val="0"/>
              <w:keepLines w:val="0"/>
              <w:widowControl/>
              <w:suppressLineNumbers w:val="0"/>
              <w:spacing w:before="0" w:beforeAutospacing="0" w:after="0" w:afterAutospacing="0" w:line="300" w:lineRule="exact"/>
              <w:ind w:left="118" w:leftChars="56" w:right="84" w:rightChars="40"/>
              <w:rPr>
                <w:rFonts w:hint="eastAsia" w:ascii="宋体" w:hAnsi="宋体" w:cs="宋体"/>
                <w:color w:val="auto"/>
                <w:szCs w:val="21"/>
                <w:highlight w:val="none"/>
              </w:rPr>
            </w:pPr>
          </w:p>
        </w:tc>
      </w:tr>
      <w:tr w14:paraId="62822E8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94" w:hRule="atLeast"/>
          <w:jc w:val="center"/>
        </w:trPr>
        <w:tc>
          <w:tcPr>
            <w:tcW w:w="1114" w:type="dxa"/>
            <w:vMerge w:val="continue"/>
            <w:vAlign w:val="center"/>
          </w:tcPr>
          <w:p w14:paraId="5EB63A3C">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c>
          <w:tcPr>
            <w:tcW w:w="949" w:type="dxa"/>
            <w:tcBorders>
              <w:right w:val="single" w:color="auto" w:sz="4" w:space="0"/>
            </w:tcBorders>
            <w:vAlign w:val="center"/>
          </w:tcPr>
          <w:p w14:paraId="79A27DC5">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6978" w:type="dxa"/>
            <w:tcBorders>
              <w:left w:val="single" w:color="auto" w:sz="4" w:space="0"/>
            </w:tcBorders>
            <w:vAlign w:val="center"/>
          </w:tcPr>
          <w:p w14:paraId="2E52BC7A">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1153" w:type="dxa"/>
          </w:tcPr>
          <w:p w14:paraId="6A8C6122">
            <w:pPr>
              <w:keepNext w:val="0"/>
              <w:keepLines w:val="0"/>
              <w:widowControl/>
              <w:suppressLineNumbers w:val="0"/>
              <w:spacing w:before="0" w:beforeAutospacing="0" w:after="0" w:afterAutospacing="0" w:line="300" w:lineRule="exact"/>
              <w:ind w:left="118" w:leftChars="56" w:right="84" w:rightChars="40"/>
              <w:rPr>
                <w:rFonts w:hint="eastAsia" w:ascii="宋体" w:hAnsi="宋体" w:cs="宋体"/>
                <w:color w:val="auto"/>
                <w:szCs w:val="21"/>
                <w:highlight w:val="none"/>
              </w:rPr>
            </w:pPr>
          </w:p>
        </w:tc>
      </w:tr>
    </w:tbl>
    <w:p w14:paraId="4C94C953">
      <w:pPr>
        <w:spacing w:line="360" w:lineRule="auto"/>
        <w:jc w:val="center"/>
        <w:rPr>
          <w:rFonts w:hint="eastAsia" w:ascii="宋体" w:hAnsi="宋体"/>
          <w:color w:val="auto"/>
          <w:szCs w:val="21"/>
          <w:highlight w:val="none"/>
        </w:rPr>
      </w:pPr>
    </w:p>
    <w:p w14:paraId="0C426D34">
      <w:pPr>
        <w:spacing w:line="360" w:lineRule="auto"/>
        <w:rPr>
          <w:rFonts w:hint="eastAsia" w:ascii="宋体" w:hAnsi="宋体"/>
          <w:color w:val="auto"/>
          <w:sz w:val="22"/>
          <w:highlight w:val="none"/>
        </w:rPr>
      </w:pPr>
      <w:r>
        <w:rPr>
          <w:rFonts w:hint="eastAsia" w:ascii="宋体" w:hAnsi="宋体" w:cs="宋体"/>
          <w:color w:val="auto"/>
          <w:szCs w:val="21"/>
          <w:highlight w:val="none"/>
        </w:rPr>
        <w:t>备注：为方便专家评审，请各供应商将本表编入采购响应文件，并置于采购响应文件目录之前。</w:t>
      </w:r>
    </w:p>
    <w:p w14:paraId="2724B83B">
      <w:pPr>
        <w:adjustRightInd w:val="0"/>
        <w:rPr>
          <w:rFonts w:hint="eastAsia" w:ascii="宋体" w:hAnsi="宋体"/>
          <w:color w:val="auto"/>
          <w:sz w:val="30"/>
          <w:szCs w:val="30"/>
          <w:highlight w:val="none"/>
        </w:rPr>
      </w:pPr>
    </w:p>
    <w:p w14:paraId="586BBDE8">
      <w:pPr>
        <w:adjustRightInd w:val="0"/>
        <w:ind w:firstLine="2400" w:firstLineChars="800"/>
        <w:rPr>
          <w:rFonts w:hint="eastAsia" w:ascii="宋体" w:hAnsi="宋体"/>
          <w:color w:val="auto"/>
          <w:sz w:val="30"/>
          <w:szCs w:val="30"/>
          <w:highlight w:val="none"/>
        </w:rPr>
      </w:pPr>
    </w:p>
    <w:p w14:paraId="368345F1">
      <w:pPr>
        <w:adjustRightInd w:val="0"/>
        <w:ind w:firstLine="2400" w:firstLineChars="800"/>
        <w:rPr>
          <w:rFonts w:hint="eastAsia" w:ascii="宋体" w:hAnsi="宋体"/>
          <w:color w:val="auto"/>
          <w:sz w:val="30"/>
          <w:szCs w:val="30"/>
          <w:highlight w:val="none"/>
        </w:rPr>
      </w:pPr>
    </w:p>
    <w:p w14:paraId="3D1867EC">
      <w:pPr>
        <w:adjustRightInd w:val="0"/>
        <w:ind w:firstLine="2400" w:firstLineChars="800"/>
        <w:rPr>
          <w:rFonts w:hint="eastAsia" w:ascii="宋体" w:hAnsi="宋体"/>
          <w:color w:val="auto"/>
          <w:sz w:val="30"/>
          <w:szCs w:val="30"/>
          <w:highlight w:val="none"/>
        </w:rPr>
      </w:pPr>
    </w:p>
    <w:p w14:paraId="3EB9F479">
      <w:pPr>
        <w:snapToGrid w:val="0"/>
        <w:spacing w:before="50"/>
        <w:jc w:val="center"/>
        <w:rPr>
          <w:rFonts w:hint="eastAsia" w:ascii="宋体" w:hAnsi="宋体"/>
          <w:b/>
          <w:color w:val="auto"/>
          <w:spacing w:val="40"/>
          <w:kern w:val="0"/>
          <w:sz w:val="32"/>
          <w:szCs w:val="32"/>
          <w:highlight w:val="none"/>
        </w:rPr>
      </w:pPr>
    </w:p>
    <w:p w14:paraId="20341C3E">
      <w:pPr>
        <w:rPr>
          <w:color w:val="auto"/>
          <w:highlight w:val="none"/>
        </w:rPr>
      </w:pPr>
    </w:p>
    <w:p w14:paraId="399E7336">
      <w:pPr>
        <w:pStyle w:val="5"/>
        <w:rPr>
          <w:color w:val="auto"/>
          <w:highlight w:val="none"/>
        </w:rPr>
      </w:pPr>
    </w:p>
    <w:p w14:paraId="6CDD7B4E">
      <w:pPr>
        <w:rPr>
          <w:color w:val="auto"/>
          <w:highlight w:val="none"/>
        </w:rPr>
      </w:pPr>
    </w:p>
    <w:p w14:paraId="59882F4F">
      <w:pPr>
        <w:pStyle w:val="5"/>
        <w:rPr>
          <w:color w:val="auto"/>
          <w:highlight w:val="none"/>
        </w:rPr>
      </w:pPr>
    </w:p>
    <w:p w14:paraId="7509DFBC">
      <w:pPr>
        <w:rPr>
          <w:color w:val="auto"/>
          <w:highlight w:val="none"/>
        </w:rPr>
      </w:pPr>
    </w:p>
    <w:p w14:paraId="77218124">
      <w:pPr>
        <w:pStyle w:val="5"/>
        <w:rPr>
          <w:color w:val="auto"/>
          <w:highlight w:val="none"/>
        </w:rPr>
      </w:pPr>
    </w:p>
    <w:p w14:paraId="297E03FE">
      <w:pPr>
        <w:pStyle w:val="4"/>
        <w:pageBreakBefore w:val="0"/>
        <w:numPr>
          <w:ilvl w:val="0"/>
          <w:numId w:val="0"/>
        </w:numPr>
        <w:kinsoku/>
        <w:wordWrap/>
        <w:overflowPunct/>
        <w:topLinePunct w:val="0"/>
        <w:bidi w:val="0"/>
        <w:spacing w:beforeLines="0" w:after="0" w:afterLines="0" w:line="360" w:lineRule="exact"/>
        <w:jc w:val="center"/>
        <w:rPr>
          <w:rFonts w:hint="eastAsia"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lang w:val="en-US" w:eastAsia="zh-CN"/>
        </w:rPr>
        <w:t>湖州市绿色采购服务平台收费标准</w:t>
      </w:r>
    </w:p>
    <w:p w14:paraId="7ADA7D98">
      <w:pPr>
        <w:spacing w:line="48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成交后，发包人、成交人需向湖州市绿色采购服务平台缴纳交易服务费，收费标准如下：</w:t>
      </w:r>
    </w:p>
    <w:p w14:paraId="5527B2C8">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1.工程类项目交易服务费，具体标准如下：      </w:t>
      </w:r>
    </w:p>
    <w:tbl>
      <w:tblPr>
        <w:tblStyle w:val="17"/>
        <w:tblW w:w="88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3"/>
        <w:gridCol w:w="3286"/>
        <w:gridCol w:w="3354"/>
      </w:tblGrid>
      <w:tr w14:paraId="16B1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233" w:type="dxa"/>
            <w:noWrap w:val="0"/>
            <w:vAlign w:val="center"/>
          </w:tcPr>
          <w:p w14:paraId="2D751D5B">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中标价（元）</w:t>
            </w:r>
          </w:p>
        </w:tc>
        <w:tc>
          <w:tcPr>
            <w:tcW w:w="3286" w:type="dxa"/>
            <w:noWrap w:val="0"/>
            <w:vAlign w:val="center"/>
          </w:tcPr>
          <w:p w14:paraId="412B2A99">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招标单位收费（元）</w:t>
            </w:r>
          </w:p>
        </w:tc>
        <w:tc>
          <w:tcPr>
            <w:tcW w:w="3354" w:type="dxa"/>
            <w:noWrap w:val="0"/>
            <w:vAlign w:val="center"/>
          </w:tcPr>
          <w:p w14:paraId="77938EEA">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中标单位收费（元）</w:t>
            </w:r>
          </w:p>
        </w:tc>
      </w:tr>
      <w:tr w14:paraId="30CFE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233" w:type="dxa"/>
            <w:noWrap w:val="0"/>
            <w:vAlign w:val="center"/>
          </w:tcPr>
          <w:p w14:paraId="15D64D25">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200万（含）以下</w:t>
            </w:r>
          </w:p>
        </w:tc>
        <w:tc>
          <w:tcPr>
            <w:tcW w:w="3286" w:type="dxa"/>
            <w:noWrap w:val="0"/>
            <w:vAlign w:val="center"/>
          </w:tcPr>
          <w:p w14:paraId="38046EC2">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750</w:t>
            </w:r>
          </w:p>
        </w:tc>
        <w:tc>
          <w:tcPr>
            <w:tcW w:w="3354" w:type="dxa"/>
            <w:noWrap w:val="0"/>
            <w:vAlign w:val="center"/>
          </w:tcPr>
          <w:p w14:paraId="0E0CF945">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750</w:t>
            </w:r>
          </w:p>
        </w:tc>
      </w:tr>
      <w:tr w14:paraId="640E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233" w:type="dxa"/>
            <w:noWrap w:val="0"/>
            <w:vAlign w:val="center"/>
          </w:tcPr>
          <w:p w14:paraId="1CC1C5F6">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200万-400万（含）</w:t>
            </w:r>
          </w:p>
        </w:tc>
        <w:tc>
          <w:tcPr>
            <w:tcW w:w="3286" w:type="dxa"/>
            <w:noWrap w:val="0"/>
            <w:vAlign w:val="center"/>
          </w:tcPr>
          <w:p w14:paraId="416AFAA0">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2000</w:t>
            </w:r>
          </w:p>
        </w:tc>
        <w:tc>
          <w:tcPr>
            <w:tcW w:w="3354" w:type="dxa"/>
            <w:noWrap w:val="0"/>
            <w:vAlign w:val="center"/>
          </w:tcPr>
          <w:p w14:paraId="4B00499D">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 xml:space="preserve"> 2000</w:t>
            </w:r>
          </w:p>
        </w:tc>
      </w:tr>
    </w:tbl>
    <w:p w14:paraId="1B91C0AF">
      <w:pPr>
        <w:widowControl/>
        <w:spacing w:line="480" w:lineRule="exact"/>
        <w:ind w:firstLine="306"/>
        <w:textAlignment w:val="baseline"/>
        <w:rPr>
          <w:rFonts w:ascii="宋体" w:hAnsi="宋体" w:cs="宋体"/>
          <w:color w:val="auto"/>
          <w:szCs w:val="21"/>
          <w:highlight w:val="none"/>
        </w:rPr>
      </w:pPr>
      <w:r>
        <w:rPr>
          <w:rFonts w:hint="eastAsia" w:ascii="宋体" w:hAnsi="宋体" w:cs="宋体"/>
          <w:color w:val="auto"/>
          <w:sz w:val="24"/>
          <w:highlight w:val="none"/>
        </w:rPr>
        <w:t>2.货物、服务类项目交易服务费，具体标准如下：</w:t>
      </w:r>
    </w:p>
    <w:tbl>
      <w:tblPr>
        <w:tblStyle w:val="17"/>
        <w:tblW w:w="88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0"/>
        <w:gridCol w:w="3069"/>
        <w:gridCol w:w="3354"/>
      </w:tblGrid>
      <w:tr w14:paraId="7499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450" w:type="dxa"/>
            <w:noWrap w:val="0"/>
            <w:vAlign w:val="center"/>
          </w:tcPr>
          <w:p w14:paraId="0AD0293B">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中标价（元）</w:t>
            </w:r>
          </w:p>
        </w:tc>
        <w:tc>
          <w:tcPr>
            <w:tcW w:w="3069" w:type="dxa"/>
            <w:noWrap w:val="0"/>
            <w:vAlign w:val="center"/>
          </w:tcPr>
          <w:p w14:paraId="1866B892">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招标单位收费（元）</w:t>
            </w:r>
          </w:p>
        </w:tc>
        <w:tc>
          <w:tcPr>
            <w:tcW w:w="3354" w:type="dxa"/>
            <w:noWrap w:val="0"/>
            <w:vAlign w:val="center"/>
          </w:tcPr>
          <w:p w14:paraId="568FF6E4">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中标单位收费（元）</w:t>
            </w:r>
          </w:p>
        </w:tc>
      </w:tr>
      <w:tr w14:paraId="3F63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450" w:type="dxa"/>
            <w:noWrap w:val="0"/>
            <w:vAlign w:val="center"/>
          </w:tcPr>
          <w:p w14:paraId="138CF8FD">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200万（含）以下</w:t>
            </w:r>
          </w:p>
        </w:tc>
        <w:tc>
          <w:tcPr>
            <w:tcW w:w="3069" w:type="dxa"/>
            <w:noWrap w:val="0"/>
            <w:vAlign w:val="center"/>
          </w:tcPr>
          <w:p w14:paraId="5A72D502">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750</w:t>
            </w:r>
          </w:p>
        </w:tc>
        <w:tc>
          <w:tcPr>
            <w:tcW w:w="3354" w:type="dxa"/>
            <w:vMerge w:val="restart"/>
            <w:noWrap w:val="0"/>
            <w:vAlign w:val="center"/>
          </w:tcPr>
          <w:p w14:paraId="69C862E7">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根据中标价格的 1.5‰</w:t>
            </w:r>
          </w:p>
        </w:tc>
      </w:tr>
      <w:tr w14:paraId="43E8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450" w:type="dxa"/>
            <w:noWrap w:val="0"/>
            <w:vAlign w:val="center"/>
          </w:tcPr>
          <w:p w14:paraId="6F340B6F">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200万-500万（含）</w:t>
            </w:r>
          </w:p>
        </w:tc>
        <w:tc>
          <w:tcPr>
            <w:tcW w:w="3069" w:type="dxa"/>
            <w:noWrap w:val="0"/>
            <w:vAlign w:val="center"/>
          </w:tcPr>
          <w:p w14:paraId="781896AE">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2000</w:t>
            </w:r>
          </w:p>
        </w:tc>
        <w:tc>
          <w:tcPr>
            <w:tcW w:w="3354" w:type="dxa"/>
            <w:vMerge w:val="continue"/>
            <w:noWrap w:val="0"/>
            <w:vAlign w:val="center"/>
          </w:tcPr>
          <w:p w14:paraId="3B10D3B0">
            <w:pPr>
              <w:widowControl/>
              <w:spacing w:line="480" w:lineRule="exact"/>
              <w:jc w:val="center"/>
              <w:textAlignment w:val="baseline"/>
              <w:rPr>
                <w:rFonts w:ascii="宋体" w:hAnsi="宋体" w:cs="宋体"/>
                <w:color w:val="auto"/>
                <w:sz w:val="24"/>
                <w:highlight w:val="none"/>
              </w:rPr>
            </w:pPr>
          </w:p>
        </w:tc>
      </w:tr>
      <w:tr w14:paraId="1E9C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450" w:type="dxa"/>
            <w:noWrap w:val="0"/>
            <w:vAlign w:val="center"/>
          </w:tcPr>
          <w:p w14:paraId="083EAD27">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500万-1000万（含）</w:t>
            </w:r>
          </w:p>
        </w:tc>
        <w:tc>
          <w:tcPr>
            <w:tcW w:w="3069" w:type="dxa"/>
            <w:noWrap w:val="0"/>
            <w:vAlign w:val="center"/>
          </w:tcPr>
          <w:p w14:paraId="149D5789">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6000</w:t>
            </w:r>
          </w:p>
        </w:tc>
        <w:tc>
          <w:tcPr>
            <w:tcW w:w="3354" w:type="dxa"/>
            <w:vMerge w:val="continue"/>
            <w:noWrap w:val="0"/>
            <w:vAlign w:val="center"/>
          </w:tcPr>
          <w:p w14:paraId="1AC85EB3">
            <w:pPr>
              <w:widowControl/>
              <w:spacing w:line="480" w:lineRule="exact"/>
              <w:jc w:val="center"/>
              <w:textAlignment w:val="baseline"/>
              <w:rPr>
                <w:rFonts w:ascii="宋体" w:hAnsi="宋体" w:cs="宋体"/>
                <w:color w:val="auto"/>
                <w:sz w:val="24"/>
                <w:highlight w:val="none"/>
              </w:rPr>
            </w:pPr>
          </w:p>
        </w:tc>
      </w:tr>
      <w:tr w14:paraId="0F9F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450" w:type="dxa"/>
            <w:noWrap w:val="0"/>
            <w:vAlign w:val="center"/>
          </w:tcPr>
          <w:p w14:paraId="1F6F8831">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1000万-2000万（含）</w:t>
            </w:r>
          </w:p>
        </w:tc>
        <w:tc>
          <w:tcPr>
            <w:tcW w:w="3069" w:type="dxa"/>
            <w:noWrap w:val="0"/>
            <w:vAlign w:val="center"/>
          </w:tcPr>
          <w:p w14:paraId="2E6AE43E">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10000</w:t>
            </w:r>
          </w:p>
        </w:tc>
        <w:tc>
          <w:tcPr>
            <w:tcW w:w="3354" w:type="dxa"/>
            <w:vMerge w:val="continue"/>
            <w:noWrap w:val="0"/>
            <w:vAlign w:val="center"/>
          </w:tcPr>
          <w:p w14:paraId="72A90E63">
            <w:pPr>
              <w:widowControl/>
              <w:spacing w:line="480" w:lineRule="exact"/>
              <w:jc w:val="center"/>
              <w:textAlignment w:val="baseline"/>
              <w:rPr>
                <w:rFonts w:ascii="宋体" w:hAnsi="宋体" w:cs="宋体"/>
                <w:color w:val="auto"/>
                <w:sz w:val="24"/>
                <w:highlight w:val="none"/>
              </w:rPr>
            </w:pPr>
          </w:p>
        </w:tc>
      </w:tr>
      <w:tr w14:paraId="6C587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450" w:type="dxa"/>
            <w:noWrap w:val="0"/>
            <w:vAlign w:val="center"/>
          </w:tcPr>
          <w:p w14:paraId="7FFEA786">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2000万-5000万（含）</w:t>
            </w:r>
          </w:p>
        </w:tc>
        <w:tc>
          <w:tcPr>
            <w:tcW w:w="3069" w:type="dxa"/>
            <w:noWrap w:val="0"/>
            <w:vAlign w:val="center"/>
          </w:tcPr>
          <w:p w14:paraId="0CBB0929">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15000</w:t>
            </w:r>
          </w:p>
        </w:tc>
        <w:tc>
          <w:tcPr>
            <w:tcW w:w="3354" w:type="dxa"/>
            <w:vMerge w:val="continue"/>
            <w:noWrap w:val="0"/>
            <w:vAlign w:val="center"/>
          </w:tcPr>
          <w:p w14:paraId="3ADE0315">
            <w:pPr>
              <w:widowControl/>
              <w:spacing w:line="480" w:lineRule="exact"/>
              <w:jc w:val="center"/>
              <w:textAlignment w:val="baseline"/>
              <w:rPr>
                <w:rFonts w:ascii="宋体" w:hAnsi="宋体" w:cs="宋体"/>
                <w:color w:val="auto"/>
                <w:sz w:val="24"/>
                <w:highlight w:val="none"/>
              </w:rPr>
            </w:pPr>
          </w:p>
        </w:tc>
      </w:tr>
      <w:tr w14:paraId="11B4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450" w:type="dxa"/>
            <w:noWrap w:val="0"/>
            <w:vAlign w:val="center"/>
          </w:tcPr>
          <w:p w14:paraId="2E25218C">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5000万以上</w:t>
            </w:r>
          </w:p>
        </w:tc>
        <w:tc>
          <w:tcPr>
            <w:tcW w:w="3069" w:type="dxa"/>
            <w:noWrap w:val="0"/>
            <w:vAlign w:val="center"/>
          </w:tcPr>
          <w:p w14:paraId="45B95D2C">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20000</w:t>
            </w:r>
          </w:p>
        </w:tc>
        <w:tc>
          <w:tcPr>
            <w:tcW w:w="3354" w:type="dxa"/>
            <w:noWrap w:val="0"/>
            <w:vAlign w:val="center"/>
          </w:tcPr>
          <w:p w14:paraId="773DE964">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75000</w:t>
            </w:r>
          </w:p>
        </w:tc>
      </w:tr>
    </w:tbl>
    <w:p w14:paraId="0F37FD53">
      <w:pPr>
        <w:widowControl/>
        <w:spacing w:line="480" w:lineRule="exact"/>
        <w:ind w:firstLine="306"/>
        <w:textAlignment w:val="baseline"/>
        <w:rPr>
          <w:rFonts w:ascii="宋体" w:hAnsi="宋体" w:cs="宋体"/>
          <w:color w:val="auto"/>
          <w:sz w:val="24"/>
          <w:highlight w:val="none"/>
        </w:rPr>
      </w:pPr>
      <w:r>
        <w:rPr>
          <w:rFonts w:hint="eastAsia" w:ascii="宋体" w:hAnsi="宋体" w:cs="宋体"/>
          <w:color w:val="auto"/>
          <w:sz w:val="24"/>
          <w:highlight w:val="none"/>
        </w:rPr>
        <w:t>注：1）不涉及具体金额的采购项目，招标单位和中标单位各收取交易服务费750元/件；2）中标单位收费不足750元的，按最低标准750元收费；</w:t>
      </w:r>
      <w:r>
        <w:rPr>
          <w:rFonts w:hint="eastAsia" w:ascii="宋体" w:hAnsi="宋体" w:cs="宋体"/>
          <w:b/>
          <w:bCs/>
          <w:color w:val="auto"/>
          <w:sz w:val="24"/>
          <w:highlight w:val="none"/>
        </w:rPr>
        <w:t>3）以上收费不包含作为投标单位交纳的150元交易服务费</w:t>
      </w:r>
      <w:r>
        <w:rPr>
          <w:rFonts w:hint="eastAsia" w:ascii="宋体" w:hAnsi="宋体" w:cs="宋体"/>
          <w:color w:val="auto"/>
          <w:sz w:val="24"/>
          <w:highlight w:val="none"/>
        </w:rPr>
        <w:t xml:space="preserve">。      </w:t>
      </w:r>
    </w:p>
    <w:p w14:paraId="3F437BBB">
      <w:pPr>
        <w:spacing w:line="480" w:lineRule="exact"/>
        <w:ind w:firstLine="480" w:firstLineChars="200"/>
        <w:rPr>
          <w:rFonts w:ascii="宋体" w:hAnsi="宋体" w:cs="宋体"/>
          <w:b/>
          <w:bCs/>
          <w:color w:val="auto"/>
          <w:sz w:val="24"/>
          <w:highlight w:val="none"/>
        </w:rPr>
      </w:pPr>
      <w:r>
        <w:rPr>
          <w:rFonts w:ascii="宋体" w:hAnsi="宋体" w:cs="宋体"/>
          <w:color w:val="auto"/>
          <w:sz w:val="24"/>
          <w:highlight w:val="none"/>
        </w:rPr>
        <mc:AlternateContent>
          <mc:Choice Requires="wps">
            <w:drawing>
              <wp:anchor distT="0" distB="0" distL="114300" distR="114300" simplePos="0" relativeHeight="251666432" behindDoc="0" locked="0" layoutInCell="1" allowOverlap="1">
                <wp:simplePos x="0" y="0"/>
                <wp:positionH relativeFrom="column">
                  <wp:posOffset>-123825</wp:posOffset>
                </wp:positionH>
                <wp:positionV relativeFrom="paragraph">
                  <wp:posOffset>44450</wp:posOffset>
                </wp:positionV>
                <wp:extent cx="6067425" cy="2371725"/>
                <wp:effectExtent l="4445" t="4445" r="5080" b="5080"/>
                <wp:wrapNone/>
                <wp:docPr id="31" name="矩形 31"/>
                <wp:cNvGraphicFramePr/>
                <a:graphic xmlns:a="http://schemas.openxmlformats.org/drawingml/2006/main">
                  <a:graphicData uri="http://schemas.microsoft.com/office/word/2010/wordprocessingShape">
                    <wps:wsp>
                      <wps:cNvSpPr/>
                      <wps:spPr>
                        <a:xfrm>
                          <a:off x="0" y="0"/>
                          <a:ext cx="6067425" cy="2371725"/>
                        </a:xfrm>
                        <a:prstGeom prst="rect">
                          <a:avLst/>
                        </a:prstGeom>
                        <a:noFill/>
                        <a:ln w="9525" cap="flat" cmpd="sng">
                          <a:solidFill>
                            <a:srgbClr val="FF0000"/>
                          </a:solidFill>
                          <a:prstDash val="solid"/>
                          <a:miter/>
                          <a:headEnd type="none" w="med" len="med"/>
                          <a:tailEnd type="none" w="med" len="med"/>
                        </a:ln>
                        <a:effectLst/>
                      </wps:spPr>
                      <wps:bodyPr wrap="square" upright="1"/>
                    </wps:wsp>
                  </a:graphicData>
                </a:graphic>
              </wp:anchor>
            </w:drawing>
          </mc:Choice>
          <mc:Fallback>
            <w:pict>
              <v:rect id="_x0000_s1026" o:spid="_x0000_s1026" o:spt="1" style="position:absolute;left:0pt;margin-left:-9.75pt;margin-top:3.5pt;height:186.75pt;width:477.75pt;z-index:251666432;mso-width-relative:page;mso-height-relative:page;" filled="f" stroked="t" coordsize="21600,21600" o:gfxdata="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u+MBQtoAAAAJAQAADwAAAAAAAAABACAAAAAi&#10;AAAAZHJzL2Rvd25yZXYueG1sUEsBAhQAFAAAAAgAh07iQLZwbV8IAgAAFAQAAA4AAAAAAAAAAQAg&#10;AAAAKQEAAGRycy9lMm9Eb2MueG1sUEsFBgAAAAAGAAYAWQEAAKMFAAAAAA==&#10;">
                <v:fill on="f" focussize="0,0"/>
                <v:stroke color="#FF0000" joinstyle="miter"/>
                <v:imagedata o:title=""/>
                <o:lock v:ext="edit" aspectratio="f"/>
              </v:rect>
            </w:pict>
          </mc:Fallback>
        </mc:AlternateContent>
      </w:r>
      <w:r>
        <w:rPr>
          <w:rFonts w:hint="eastAsia" w:ascii="宋体" w:hAnsi="宋体" w:cs="宋体"/>
          <w:b/>
          <w:bCs/>
          <w:color w:val="auto"/>
          <w:sz w:val="24"/>
          <w:highlight w:val="none"/>
        </w:rPr>
        <w:t>户名：湖州市联合产权交易有限公司；</w:t>
      </w:r>
    </w:p>
    <w:p w14:paraId="5DC5B324">
      <w:pPr>
        <w:spacing w:line="48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账号：以缴费流程页面上生成的缴纳账号为准；</w:t>
      </w:r>
    </w:p>
    <w:p w14:paraId="37789747">
      <w:pPr>
        <w:spacing w:line="48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开户行：湖州银行股份有限公司吴兴支行。</w:t>
      </w:r>
    </w:p>
    <w:p w14:paraId="66BFEAA9">
      <w:pPr>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注意：交易服务费须单笔足额缴纳至实时生成的唯一收款账号中。超额、不足、分批次缴纳或自行转账至其他账户均视为无效缴纳，须重新缴纳后申请原缴纳费用退款。联系电话：0572-2373070。操作方法详见：https://www.hzlscgfw.cn/dtgg/20240227/81034cc2-7ade-47a6-a091-8caf5d4265b8.html</w:t>
      </w:r>
    </w:p>
    <w:p w14:paraId="6EA68DE3">
      <w:pPr>
        <w:snapToGrid w:val="0"/>
        <w:spacing w:before="120" w:beforeLines="50" w:after="50"/>
        <w:rPr>
          <w:rFonts w:ascii="宋体" w:hAnsi="宋体"/>
          <w:color w:val="auto"/>
          <w:szCs w:val="21"/>
          <w:highlight w:val="none"/>
        </w:rPr>
      </w:pPr>
    </w:p>
    <w:p w14:paraId="458E7B75">
      <w:pPr>
        <w:tabs>
          <w:tab w:val="left" w:pos="6749"/>
        </w:tabs>
        <w:bidi w:val="0"/>
        <w:jc w:val="left"/>
        <w:rPr>
          <w:rFonts w:hint="eastAsia"/>
          <w:color w:val="auto"/>
          <w:highlight w:val="none"/>
          <w:lang w:val="en-US" w:eastAsia="zh-CN"/>
        </w:rPr>
      </w:pPr>
    </w:p>
    <w:p w14:paraId="4D0A734E">
      <w:pPr>
        <w:rPr>
          <w:color w:val="auto"/>
          <w:highlight w:val="none"/>
        </w:rPr>
      </w:pPr>
    </w:p>
    <w:sectPr>
      <w:headerReference r:id="rId18" w:type="first"/>
      <w:headerReference r:id="rId16" w:type="default"/>
      <w:footerReference r:id="rId19" w:type="default"/>
      <w:headerReference r:id="rId17" w:type="even"/>
      <w:footerReference r:id="rId20" w:type="even"/>
      <w:pgSz w:w="11906" w:h="16838"/>
      <w:pgMar w:top="1474" w:right="1797" w:bottom="1247" w:left="1797" w:header="851" w:footer="851"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roman"/>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altName w:val="宋体"/>
    <w:panose1 w:val="0201050906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roma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D4E11">
    <w:pPr>
      <w:pStyle w:val="11"/>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6735B">
    <w:pPr>
      <w:pStyle w:val="11"/>
      <w:framePr w:wrap="around" w:vAnchor="text" w:hAnchor="margin" w:xAlign="outside" w:y="1"/>
      <w:rPr>
        <w:rStyle w:val="20"/>
      </w:rPr>
    </w:pPr>
    <w:r>
      <w:fldChar w:fldCharType="begin"/>
    </w:r>
    <w:r>
      <w:rPr>
        <w:rStyle w:val="20"/>
      </w:rPr>
      <w:instrText xml:space="preserve">PAGE  </w:instrText>
    </w:r>
    <w:r>
      <w:fldChar w:fldCharType="end"/>
    </w:r>
  </w:p>
  <w:p w14:paraId="651798DD">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6D25B">
    <w:pPr>
      <w:pStyle w:val="7"/>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A3836B">
                          <w:pPr>
                            <w:pStyle w:val="11"/>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07A3836B">
                    <w:pPr>
                      <w:pStyle w:val="11"/>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F2150">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1695D">
    <w:pPr>
      <w:pStyle w:val="11"/>
      <w:tabs>
        <w:tab w:val="center" w:pos="4140"/>
        <w:tab w:val="right" w:pos="8300"/>
      </w:tabs>
      <w:ind w:right="360" w:firstLine="360"/>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E3D539">
                          <w:pPr>
                            <w:pStyle w:val="11"/>
                            <w:tabs>
                              <w:tab w:val="center" w:pos="4140"/>
                              <w:tab w:val="right" w:pos="8300"/>
                            </w:tabs>
                          </w:pPr>
                          <w:r>
                            <w:fldChar w:fldCharType="begin"/>
                          </w:r>
                          <w:r>
                            <w:instrText xml:space="preserve"> PAGE  \* MERGEFORMAT </w:instrText>
                          </w:r>
                          <w:r>
                            <w:fldChar w:fldCharType="separate"/>
                          </w:r>
                          <w:r>
                            <w:t>24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ovrIMkBAACZAwAADgAAAGRycy9lMm9Eb2MueG1srVPNjtMwEL4j8Q6W&#10;79RptU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qi+sgyQEAAJkDAAAOAAAAAAAAAAEAIAAAAB4BAABkcnMvZTJvRG9j&#10;LnhtbFBLBQYAAAAABgAGAFkBAABZBQAAAAA=&#10;">
              <v:fill on="f" focussize="0,0"/>
              <v:stroke on="f"/>
              <v:imagedata o:title=""/>
              <o:lock v:ext="edit" aspectratio="f"/>
              <v:textbox inset="0mm,0mm,0mm,0mm" style="mso-fit-shape-to-text:t;">
                <w:txbxContent>
                  <w:p w14:paraId="2CE3D539">
                    <w:pPr>
                      <w:pStyle w:val="11"/>
                      <w:tabs>
                        <w:tab w:val="center" w:pos="4140"/>
                        <w:tab w:val="right" w:pos="8300"/>
                      </w:tabs>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D2D8F">
    <w:pPr>
      <w:pStyle w:val="11"/>
      <w:tabs>
        <w:tab w:val="center" w:pos="4140"/>
        <w:tab w:val="right" w:pos="8300"/>
      </w:tabs>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224F2A">
                          <w:pPr>
                            <w:pStyle w:val="11"/>
                            <w:tabs>
                              <w:tab w:val="center" w:pos="4140"/>
                              <w:tab w:val="right" w:pos="8300"/>
                            </w:tabs>
                          </w:pPr>
                          <w:r>
                            <w:fldChar w:fldCharType="begin"/>
                          </w:r>
                          <w:r>
                            <w:instrText xml:space="preserve"> PAGE  \* MERGEFORMAT </w:instrText>
                          </w:r>
                          <w:r>
                            <w:fldChar w:fldCharType="separate"/>
                          </w:r>
                          <w:r>
                            <w:t>23</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v:fill on="f" focussize="0,0"/>
              <v:stroke on="f"/>
              <v:imagedata o:title=""/>
              <o:lock v:ext="edit" aspectratio="f"/>
              <v:textbox inset="0mm,0mm,0mm,0mm" style="mso-fit-shape-to-text:t;">
                <w:txbxContent>
                  <w:p w14:paraId="12224F2A">
                    <w:pPr>
                      <w:pStyle w:val="11"/>
                      <w:tabs>
                        <w:tab w:val="center" w:pos="4140"/>
                        <w:tab w:val="right" w:pos="8300"/>
                      </w:tabs>
                    </w:pPr>
                    <w:r>
                      <w:fldChar w:fldCharType="begin"/>
                    </w:r>
                    <w:r>
                      <w:instrText xml:space="preserve"> PAGE  \* MERGEFORMAT </w:instrText>
                    </w:r>
                    <w:r>
                      <w:fldChar w:fldCharType="separate"/>
                    </w:r>
                    <w:r>
                      <w:t>23</w:t>
                    </w:r>
                    <w: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39F21D">
                          <w:pPr>
                            <w:pStyle w:val="11"/>
                            <w:tabs>
                              <w:tab w:val="center" w:pos="4140"/>
                              <w:tab w:val="right" w:pos="8300"/>
                            </w:tabs>
                            <w:rPr>
                              <w:rFonts w:hint="eastAsia"/>
                              <w:lang w:eastAsia="zh-CN"/>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0A39F21D">
                    <w:pPr>
                      <w:pStyle w:val="11"/>
                      <w:tabs>
                        <w:tab w:val="center" w:pos="4140"/>
                        <w:tab w:val="right" w:pos="8300"/>
                      </w:tabs>
                      <w:rPr>
                        <w:rFonts w:hint="eastAsia"/>
                        <w:lang w:eastAsia="zh-CN"/>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473A0">
    <w:pPr>
      <w:pStyle w:val="1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6CFCA8">
                          <w:pPr>
                            <w:pStyle w:val="11"/>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CGzs4s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IbOziwCAABZBAAADgAAAAAAAAABACAAAAAfAQAAZHJzL2Uyb0RvYy54bWxQSwUGAAAAAAYA&#10;BgBZAQAAvQUAAAAA&#10;">
              <v:fill on="f" focussize="0,0"/>
              <v:stroke on="f" weight="0.5pt"/>
              <v:imagedata o:title=""/>
              <o:lock v:ext="edit" aspectratio="f"/>
              <v:textbox inset="0mm,0mm,0mm,0mm" style="mso-fit-shape-to-text:t;">
                <w:txbxContent>
                  <w:p w14:paraId="1F6CFCA8">
                    <w:pPr>
                      <w:pStyle w:val="11"/>
                    </w:pPr>
                    <w:r>
                      <w:fldChar w:fldCharType="begin"/>
                    </w:r>
                    <w:r>
                      <w:instrText xml:space="preserve"> PAGE  \* MERGEFORMAT </w:instrText>
                    </w:r>
                    <w:r>
                      <w:fldChar w:fldCharType="separate"/>
                    </w:r>
                    <w:r>
                      <w:t>53</w:t>
                    </w:r>
                    <w:r>
                      <w:fldChar w:fldCharType="end"/>
                    </w:r>
                  </w:p>
                </w:txbxContent>
              </v:textbox>
            </v:shape>
          </w:pict>
        </mc:Fallback>
      </mc:AlternateContent>
    </w:r>
  </w:p>
  <w:p w14:paraId="3322FA04">
    <w:pPr>
      <w:pStyle w:val="11"/>
      <w:ind w:right="360"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DFC36">
    <w:pPr>
      <w:pStyle w:val="11"/>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A290A4">
                          <w:pPr>
                            <w:pStyle w:val="11"/>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7Z4pMsAgAAW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tnikywCAABZBAAADgAAAAAAAAABACAAAAAfAQAAZHJzL2Uyb0RvYy54bWxQSwUGAAAAAAYA&#10;BgBZAQAAvQUAAAAA&#10;">
              <v:fill on="f" focussize="0,0"/>
              <v:stroke on="f" weight="0.5pt"/>
              <v:imagedata o:title=""/>
              <o:lock v:ext="edit" aspectratio="f"/>
              <v:textbox inset="0mm,0mm,0mm,0mm" style="mso-fit-shape-to-text:t;">
                <w:txbxContent>
                  <w:p w14:paraId="1CA290A4">
                    <w:pPr>
                      <w:pStyle w:val="11"/>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07DAB">
    <w:pPr>
      <w:pStyle w:val="11"/>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E136F0">
                          <w:pPr>
                            <w:pStyle w:val="11"/>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5lnQs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TDmWdCwCAABZBAAADgAAAAAAAAABACAAAAAfAQAAZHJzL2Uyb0RvYy54bWxQSwUGAAAAAAYA&#10;BgBZAQAAvQUAAAAA&#10;">
              <v:fill on="f" focussize="0,0"/>
              <v:stroke on="f" weight="0.5pt"/>
              <v:imagedata o:title=""/>
              <o:lock v:ext="edit" aspectratio="f"/>
              <v:textbox inset="0mm,0mm,0mm,0mm" style="mso-fit-shape-to-text:t;">
                <w:txbxContent>
                  <w:p w14:paraId="15E136F0">
                    <w:pPr>
                      <w:pStyle w:val="11"/>
                    </w:pPr>
                    <w:r>
                      <w:fldChar w:fldCharType="begin"/>
                    </w:r>
                    <w:r>
                      <w:instrText xml:space="preserve"> PAGE  \* MERGEFORMAT </w:instrText>
                    </w:r>
                    <w:r>
                      <w:fldChar w:fldCharType="separate"/>
                    </w:r>
                    <w:r>
                      <w:t>55</w:t>
                    </w:r>
                    <w:r>
                      <w:fldChar w:fldCharType="end"/>
                    </w:r>
                  </w:p>
                </w:txbxContent>
              </v:textbox>
            </v:shape>
          </w:pict>
        </mc:Fallback>
      </mc:AlternateContent>
    </w:r>
  </w:p>
  <w:p w14:paraId="342D4F07">
    <w:pPr>
      <w:pStyle w:val="11"/>
      <w:ind w:right="360"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27DBE">
    <w:pPr>
      <w:pStyle w:val="11"/>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F80FB5">
                          <w:pPr>
                            <w:pStyle w:val="11"/>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muiktAgAAWQ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JmuiktAgAAWQQAAA4AAAAAAAAAAQAgAAAAHwEAAGRycy9lMm9Eb2MueG1sUEsFBgAAAAAG&#10;AAYAWQEAAL4FAAAAAA==&#10;">
              <v:fill on="f" focussize="0,0"/>
              <v:stroke on="f" weight="0.5pt"/>
              <v:imagedata o:title=""/>
              <o:lock v:ext="edit" aspectratio="f"/>
              <v:textbox inset="0mm,0mm,0mm,0mm" style="mso-fit-shape-to-text:t;">
                <w:txbxContent>
                  <w:p w14:paraId="37F80FB5">
                    <w:pPr>
                      <w:pStyle w:val="11"/>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F21AA">
    <w:pPr>
      <w:pStyle w:val="11"/>
      <w:rPr>
        <w:rStyle w:val="20"/>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9D247F">
                          <w:pPr>
                            <w:pStyle w:val="11"/>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DmE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n/DmEtAgAAWQQAAA4AAAAAAAAAAQAgAAAAHwEAAGRycy9lMm9Eb2MueG1sUEsFBgAAAAAG&#10;AAYAWQEAAL4FAAAAAA==&#10;">
              <v:fill on="f" focussize="0,0"/>
              <v:stroke on="f" weight="0.5pt"/>
              <v:imagedata o:title=""/>
              <o:lock v:ext="edit" aspectratio="f"/>
              <v:textbox inset="0mm,0mm,0mm,0mm" style="mso-fit-shape-to-text:t;">
                <w:txbxContent>
                  <w:p w14:paraId="6E9D247F">
                    <w:pPr>
                      <w:pStyle w:val="11"/>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09243">
    <w:pPr>
      <w:pStyle w:val="11"/>
      <w:framePr w:wrap="around" w:vAnchor="text" w:hAnchor="margin" w:xAlign="center" w:y="1"/>
      <w:rPr>
        <w:rStyle w:val="20"/>
      </w:rPr>
    </w:pPr>
    <w:r>
      <w:fldChar w:fldCharType="begin"/>
    </w:r>
    <w:r>
      <w:rPr>
        <w:rStyle w:val="20"/>
      </w:rPr>
      <w:instrText xml:space="preserve">PAGE  </w:instrText>
    </w:r>
    <w:r>
      <w:fldChar w:fldCharType="end"/>
    </w:r>
  </w:p>
  <w:p w14:paraId="50AB7608">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7DEB5">
    <w:pPr>
      <w:pStyle w:val="12"/>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01135">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1197F">
    <w:pPr>
      <w:pStyle w:val="12"/>
      <w:pBdr>
        <w:bottom w:val="none" w:color="auto" w:sz="0" w:space="1"/>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F99EB">
    <w:pPr>
      <w:autoSpaceDE w:val="0"/>
      <w:autoSpaceDN w:val="0"/>
      <w:adjustRightInd w:val="0"/>
      <w:ind w:firstLine="480"/>
      <w:jc w:val="left"/>
      <w:rPr>
        <w:rFonts w:ascii="宋体"/>
        <w:kern w:val="0"/>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6CDC3">
    <w:pPr>
      <w:pStyle w:val="12"/>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63768">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1D8EB4"/>
    <w:multiLevelType w:val="singleLevel"/>
    <w:tmpl w:val="B51D8EB4"/>
    <w:lvl w:ilvl="0" w:tentative="0">
      <w:start w:val="4"/>
      <w:numFmt w:val="chineseCounting"/>
      <w:suff w:val="space"/>
      <w:lvlText w:val="第%1章"/>
      <w:lvlJc w:val="left"/>
      <w:rPr>
        <w:rFonts w:hint="eastAsia"/>
      </w:rPr>
    </w:lvl>
  </w:abstractNum>
  <w:abstractNum w:abstractNumId="1">
    <w:nsid w:val="F379D086"/>
    <w:multiLevelType w:val="singleLevel"/>
    <w:tmpl w:val="F379D086"/>
    <w:lvl w:ilvl="0" w:tentative="0">
      <w:start w:val="2"/>
      <w:numFmt w:val="decimal"/>
      <w:suff w:val="nothing"/>
      <w:lvlText w:val="%1、"/>
      <w:lvlJc w:val="left"/>
    </w:lvl>
  </w:abstractNum>
  <w:abstractNum w:abstractNumId="2">
    <w:nsid w:val="F4879C4F"/>
    <w:multiLevelType w:val="multilevel"/>
    <w:tmpl w:val="F4879C4F"/>
    <w:lvl w:ilvl="0" w:tentative="0">
      <w:start w:val="1"/>
      <w:numFmt w:val="decimalFullWidth"/>
      <w:pStyle w:val="25"/>
      <w:lvlText w:val="%1．"/>
      <w:lvlJc w:val="left"/>
      <w:pPr>
        <w:ind w:left="420" w:hanging="420"/>
      </w:pPr>
      <w:rPr>
        <w:rFonts w:ascii="宋体" w:hAnsi="宋体"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3"/>
    <w:multiLevelType w:val="multilevel"/>
    <w:tmpl w:val="00000003"/>
    <w:lvl w:ilvl="0" w:tentative="0">
      <w:start w:val="1"/>
      <w:numFmt w:val="japaneseCounting"/>
      <w:lvlText w:val="%1、"/>
      <w:lvlJc w:val="left"/>
      <w:pPr>
        <w:tabs>
          <w:tab w:val="left" w:pos="420"/>
        </w:tabs>
        <w:ind w:left="420" w:hanging="420"/>
      </w:pPr>
      <w:rPr>
        <w:rFonts w:hint="default"/>
      </w:rPr>
    </w:lvl>
    <w:lvl w:ilvl="1" w:tentative="0">
      <w:start w:val="1"/>
      <w:numFmt w:val="decimal"/>
      <w:lvlText w:val="%2、"/>
      <w:lvlJc w:val="left"/>
      <w:pPr>
        <w:tabs>
          <w:tab w:val="left" w:pos="360"/>
        </w:tabs>
        <w:ind w:left="360" w:hanging="360"/>
      </w:pPr>
      <w:rPr>
        <w:rFonts w:hint="default"/>
        <w:b/>
      </w:rPr>
    </w:lvl>
    <w:lvl w:ilvl="2" w:tentative="0">
      <w:start w:val="1"/>
      <w:numFmt w:val="decimal"/>
      <w:lvlText w:val="（%3）"/>
      <w:lvlJc w:val="left"/>
      <w:pPr>
        <w:tabs>
          <w:tab w:val="left" w:pos="1560"/>
        </w:tabs>
        <w:ind w:left="1560" w:hanging="720"/>
      </w:pPr>
      <w:rPr>
        <w:rFonts w:hint="default"/>
      </w:rPr>
    </w:lvl>
    <w:lvl w:ilvl="3" w:tentative="0">
      <w:start w:val="1"/>
      <w:numFmt w:val="decimal"/>
      <w:lvlText w:val="%4."/>
      <w:lvlJc w:val="left"/>
      <w:pPr>
        <w:tabs>
          <w:tab w:val="left" w:pos="600"/>
        </w:tabs>
        <w:ind w:left="60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14"/>
    <w:multiLevelType w:val="multilevel"/>
    <w:tmpl w:val="00000014"/>
    <w:lvl w:ilvl="0" w:tentative="0">
      <w:start w:val="1"/>
      <w:numFmt w:val="japaneseCounting"/>
      <w:lvlText w:val="第%1章"/>
      <w:lvlJc w:val="left"/>
      <w:pPr>
        <w:tabs>
          <w:tab w:val="left" w:pos="1440"/>
        </w:tabs>
        <w:ind w:left="1440" w:hanging="1275"/>
      </w:pPr>
      <w:rPr>
        <w:rFonts w:hint="eastAsia"/>
      </w:rPr>
    </w:lvl>
    <w:lvl w:ilvl="1" w:tentative="0">
      <w:start w:val="1"/>
      <w:numFmt w:val="japaneseCounting"/>
      <w:lvlText w:val="%2、"/>
      <w:lvlJc w:val="left"/>
      <w:pPr>
        <w:tabs>
          <w:tab w:val="left" w:pos="1305"/>
        </w:tabs>
        <w:ind w:left="1305" w:hanging="720"/>
      </w:pPr>
      <w:rPr>
        <w:rFonts w:hint="eastAsia"/>
      </w:rPr>
    </w:lvl>
    <w:lvl w:ilvl="2" w:tentative="0">
      <w:start w:val="1"/>
      <w:numFmt w:val="lowerRoman"/>
      <w:lvlText w:val="%3."/>
      <w:lvlJc w:val="right"/>
      <w:pPr>
        <w:tabs>
          <w:tab w:val="left" w:pos="1425"/>
        </w:tabs>
        <w:ind w:left="1425" w:hanging="420"/>
      </w:pPr>
    </w:lvl>
    <w:lvl w:ilvl="3" w:tentative="0">
      <w:start w:val="1"/>
      <w:numFmt w:val="decimal"/>
      <w:lvlText w:val="%4."/>
      <w:lvlJc w:val="left"/>
      <w:pPr>
        <w:tabs>
          <w:tab w:val="left" w:pos="1845"/>
        </w:tabs>
        <w:ind w:left="1845" w:hanging="420"/>
      </w:pPr>
    </w:lvl>
    <w:lvl w:ilvl="4" w:tentative="0">
      <w:start w:val="1"/>
      <w:numFmt w:val="lowerLetter"/>
      <w:lvlText w:val="%5)"/>
      <w:lvlJc w:val="left"/>
      <w:pPr>
        <w:tabs>
          <w:tab w:val="left" w:pos="2265"/>
        </w:tabs>
        <w:ind w:left="2265" w:hanging="420"/>
      </w:pPr>
    </w:lvl>
    <w:lvl w:ilvl="5" w:tentative="0">
      <w:start w:val="1"/>
      <w:numFmt w:val="lowerRoman"/>
      <w:lvlText w:val="%6."/>
      <w:lvlJc w:val="right"/>
      <w:pPr>
        <w:tabs>
          <w:tab w:val="left" w:pos="2685"/>
        </w:tabs>
        <w:ind w:left="2685" w:hanging="420"/>
      </w:pPr>
    </w:lvl>
    <w:lvl w:ilvl="6" w:tentative="0">
      <w:start w:val="1"/>
      <w:numFmt w:val="decimal"/>
      <w:lvlText w:val="%7."/>
      <w:lvlJc w:val="left"/>
      <w:pPr>
        <w:tabs>
          <w:tab w:val="left" w:pos="3105"/>
        </w:tabs>
        <w:ind w:left="3105" w:hanging="420"/>
      </w:pPr>
    </w:lvl>
    <w:lvl w:ilvl="7" w:tentative="0">
      <w:start w:val="1"/>
      <w:numFmt w:val="lowerLetter"/>
      <w:lvlText w:val="%8)"/>
      <w:lvlJc w:val="left"/>
      <w:pPr>
        <w:tabs>
          <w:tab w:val="left" w:pos="3525"/>
        </w:tabs>
        <w:ind w:left="3525" w:hanging="420"/>
      </w:pPr>
    </w:lvl>
    <w:lvl w:ilvl="8" w:tentative="0">
      <w:start w:val="1"/>
      <w:numFmt w:val="lowerRoman"/>
      <w:lvlText w:val="%9."/>
      <w:lvlJc w:val="right"/>
      <w:pPr>
        <w:tabs>
          <w:tab w:val="left" w:pos="3945"/>
        </w:tabs>
        <w:ind w:left="3945" w:hanging="420"/>
      </w:pPr>
    </w:lvl>
  </w:abstractNum>
  <w:abstractNum w:abstractNumId="5">
    <w:nsid w:val="21322986"/>
    <w:multiLevelType w:val="multilevel"/>
    <w:tmpl w:val="21322986"/>
    <w:lvl w:ilvl="0" w:tentative="0">
      <w:start w:val="4"/>
      <w:numFmt w:val="decimal"/>
      <w:lvlText w:val="%1"/>
      <w:lvlJc w:val="left"/>
      <w:pPr>
        <w:ind w:left="573" w:hanging="454"/>
      </w:pPr>
      <w:rPr>
        <w:rFonts w:hint="default"/>
        <w:lang w:val="en-US" w:eastAsia="zh-CN" w:bidi="ar-SA"/>
      </w:rPr>
    </w:lvl>
    <w:lvl w:ilvl="1" w:tentative="0">
      <w:start w:val="1"/>
      <w:numFmt w:val="decimal"/>
      <w:lvlText w:val="%1.%2"/>
      <w:lvlJc w:val="left"/>
      <w:pPr>
        <w:ind w:left="573" w:hanging="454"/>
      </w:pPr>
      <w:rPr>
        <w:rFonts w:hint="default" w:ascii="宋体" w:hAnsi="宋体" w:eastAsia="宋体" w:cs="宋体"/>
        <w:b/>
        <w:bCs/>
        <w:spacing w:val="1"/>
        <w:w w:val="99"/>
        <w:sz w:val="28"/>
        <w:szCs w:val="28"/>
        <w:lang w:val="en-US" w:eastAsia="zh-CN" w:bidi="ar-SA"/>
      </w:rPr>
    </w:lvl>
    <w:lvl w:ilvl="2" w:tentative="0">
      <w:start w:val="1"/>
      <w:numFmt w:val="decimal"/>
      <w:lvlText w:val="%1.%2.%3"/>
      <w:lvlJc w:val="left"/>
      <w:pPr>
        <w:ind w:left="992" w:hanging="708"/>
      </w:pPr>
      <w:rPr>
        <w:rFonts w:hint="default" w:ascii="宋体" w:hAnsi="宋体" w:eastAsia="宋体" w:cs="宋体"/>
        <w:b/>
        <w:bCs/>
        <w:spacing w:val="-2"/>
        <w:w w:val="99"/>
        <w:sz w:val="26"/>
        <w:szCs w:val="26"/>
        <w:lang w:val="en-US" w:eastAsia="zh-CN" w:bidi="ar-SA"/>
      </w:rPr>
    </w:lvl>
    <w:lvl w:ilvl="3" w:tentative="0">
      <w:start w:val="0"/>
      <w:numFmt w:val="bullet"/>
      <w:lvlText w:val=""/>
      <w:lvlJc w:val="left"/>
      <w:pPr>
        <w:ind w:left="960" w:hanging="420"/>
      </w:pPr>
      <w:rPr>
        <w:rFonts w:hint="default" w:ascii="Wingdings" w:hAnsi="Wingdings" w:eastAsia="Wingdings" w:cs="Wingdings"/>
        <w:w w:val="99"/>
        <w:sz w:val="21"/>
        <w:szCs w:val="21"/>
        <w:lang w:val="en-US" w:eastAsia="zh-CN" w:bidi="ar-SA"/>
      </w:rPr>
    </w:lvl>
    <w:lvl w:ilvl="4" w:tentative="0">
      <w:start w:val="0"/>
      <w:numFmt w:val="bullet"/>
      <w:lvlText w:val="•"/>
      <w:lvlJc w:val="left"/>
      <w:pPr>
        <w:ind w:left="2901" w:hanging="420"/>
      </w:pPr>
      <w:rPr>
        <w:rFonts w:hint="default"/>
        <w:lang w:val="en-US" w:eastAsia="zh-CN" w:bidi="ar-SA"/>
      </w:rPr>
    </w:lvl>
    <w:lvl w:ilvl="5" w:tentative="0">
      <w:start w:val="0"/>
      <w:numFmt w:val="bullet"/>
      <w:lvlText w:val="•"/>
      <w:lvlJc w:val="left"/>
      <w:pPr>
        <w:ind w:left="3872" w:hanging="420"/>
      </w:pPr>
      <w:rPr>
        <w:rFonts w:hint="default"/>
        <w:lang w:val="en-US" w:eastAsia="zh-CN" w:bidi="ar-SA"/>
      </w:rPr>
    </w:lvl>
    <w:lvl w:ilvl="6" w:tentative="0">
      <w:start w:val="0"/>
      <w:numFmt w:val="bullet"/>
      <w:lvlText w:val="•"/>
      <w:lvlJc w:val="left"/>
      <w:pPr>
        <w:ind w:left="4843" w:hanging="420"/>
      </w:pPr>
      <w:rPr>
        <w:rFonts w:hint="default"/>
        <w:lang w:val="en-US" w:eastAsia="zh-CN" w:bidi="ar-SA"/>
      </w:rPr>
    </w:lvl>
    <w:lvl w:ilvl="7" w:tentative="0">
      <w:start w:val="0"/>
      <w:numFmt w:val="bullet"/>
      <w:lvlText w:val="•"/>
      <w:lvlJc w:val="left"/>
      <w:pPr>
        <w:ind w:left="5813" w:hanging="420"/>
      </w:pPr>
      <w:rPr>
        <w:rFonts w:hint="default"/>
        <w:lang w:val="en-US" w:eastAsia="zh-CN" w:bidi="ar-SA"/>
      </w:rPr>
    </w:lvl>
    <w:lvl w:ilvl="8" w:tentative="0">
      <w:start w:val="0"/>
      <w:numFmt w:val="bullet"/>
      <w:lvlText w:val="•"/>
      <w:lvlJc w:val="left"/>
      <w:pPr>
        <w:ind w:left="6784" w:hanging="420"/>
      </w:pPr>
      <w:rPr>
        <w:rFonts w:hint="default"/>
        <w:lang w:val="en-US" w:eastAsia="zh-CN" w:bidi="ar-SA"/>
      </w:rPr>
    </w:lvl>
  </w:abstractNum>
  <w:abstractNum w:abstractNumId="6">
    <w:nsid w:val="504F2477"/>
    <w:multiLevelType w:val="multilevel"/>
    <w:tmpl w:val="504F2477"/>
    <w:lvl w:ilvl="0" w:tentative="0">
      <w:start w:val="3"/>
      <w:numFmt w:val="decimal"/>
      <w:lvlText w:val="%1"/>
      <w:lvlJc w:val="left"/>
      <w:pPr>
        <w:ind w:left="573" w:hanging="454"/>
      </w:pPr>
      <w:rPr>
        <w:rFonts w:hint="default"/>
        <w:lang w:val="en-US" w:eastAsia="zh-CN" w:bidi="ar-SA"/>
      </w:rPr>
    </w:lvl>
    <w:lvl w:ilvl="1" w:tentative="0">
      <w:start w:val="1"/>
      <w:numFmt w:val="decimal"/>
      <w:lvlText w:val="%1.%2"/>
      <w:lvlJc w:val="left"/>
      <w:pPr>
        <w:ind w:left="573" w:hanging="454"/>
      </w:pPr>
      <w:rPr>
        <w:rFonts w:hint="default" w:ascii="宋体" w:hAnsi="宋体" w:eastAsia="宋体" w:cs="宋体"/>
        <w:b/>
        <w:bCs/>
        <w:spacing w:val="1"/>
        <w:w w:val="99"/>
        <w:sz w:val="28"/>
        <w:szCs w:val="28"/>
        <w:lang w:val="en-US" w:eastAsia="zh-CN" w:bidi="ar-SA"/>
      </w:rPr>
    </w:lvl>
    <w:lvl w:ilvl="2" w:tentative="0">
      <w:start w:val="0"/>
      <w:numFmt w:val="bullet"/>
      <w:lvlText w:val="•"/>
      <w:lvlJc w:val="left"/>
      <w:pPr>
        <w:ind w:left="2209" w:hanging="454"/>
      </w:pPr>
      <w:rPr>
        <w:rFonts w:hint="default"/>
        <w:lang w:val="en-US" w:eastAsia="zh-CN" w:bidi="ar-SA"/>
      </w:rPr>
    </w:lvl>
    <w:lvl w:ilvl="3" w:tentative="0">
      <w:start w:val="0"/>
      <w:numFmt w:val="bullet"/>
      <w:lvlText w:val="•"/>
      <w:lvlJc w:val="left"/>
      <w:pPr>
        <w:ind w:left="3023" w:hanging="454"/>
      </w:pPr>
      <w:rPr>
        <w:rFonts w:hint="default"/>
        <w:lang w:val="en-US" w:eastAsia="zh-CN" w:bidi="ar-SA"/>
      </w:rPr>
    </w:lvl>
    <w:lvl w:ilvl="4" w:tentative="0">
      <w:start w:val="0"/>
      <w:numFmt w:val="bullet"/>
      <w:lvlText w:val="•"/>
      <w:lvlJc w:val="left"/>
      <w:pPr>
        <w:ind w:left="3838" w:hanging="454"/>
      </w:pPr>
      <w:rPr>
        <w:rFonts w:hint="default"/>
        <w:lang w:val="en-US" w:eastAsia="zh-CN" w:bidi="ar-SA"/>
      </w:rPr>
    </w:lvl>
    <w:lvl w:ilvl="5" w:tentative="0">
      <w:start w:val="0"/>
      <w:numFmt w:val="bullet"/>
      <w:lvlText w:val="•"/>
      <w:lvlJc w:val="left"/>
      <w:pPr>
        <w:ind w:left="4653" w:hanging="454"/>
      </w:pPr>
      <w:rPr>
        <w:rFonts w:hint="default"/>
        <w:lang w:val="en-US" w:eastAsia="zh-CN" w:bidi="ar-SA"/>
      </w:rPr>
    </w:lvl>
    <w:lvl w:ilvl="6" w:tentative="0">
      <w:start w:val="0"/>
      <w:numFmt w:val="bullet"/>
      <w:lvlText w:val="•"/>
      <w:lvlJc w:val="left"/>
      <w:pPr>
        <w:ind w:left="5467" w:hanging="454"/>
      </w:pPr>
      <w:rPr>
        <w:rFonts w:hint="default"/>
        <w:lang w:val="en-US" w:eastAsia="zh-CN" w:bidi="ar-SA"/>
      </w:rPr>
    </w:lvl>
    <w:lvl w:ilvl="7" w:tentative="0">
      <w:start w:val="0"/>
      <w:numFmt w:val="bullet"/>
      <w:lvlText w:val="•"/>
      <w:lvlJc w:val="left"/>
      <w:pPr>
        <w:ind w:left="6282" w:hanging="454"/>
      </w:pPr>
      <w:rPr>
        <w:rFonts w:hint="default"/>
        <w:lang w:val="en-US" w:eastAsia="zh-CN" w:bidi="ar-SA"/>
      </w:rPr>
    </w:lvl>
    <w:lvl w:ilvl="8" w:tentative="0">
      <w:start w:val="0"/>
      <w:numFmt w:val="bullet"/>
      <w:lvlText w:val="•"/>
      <w:lvlJc w:val="left"/>
      <w:pPr>
        <w:ind w:left="7096" w:hanging="454"/>
      </w:pPr>
      <w:rPr>
        <w:rFonts w:hint="default"/>
        <w:lang w:val="en-US" w:eastAsia="zh-CN" w:bidi="ar-SA"/>
      </w:rPr>
    </w:lvl>
  </w:abstractNum>
  <w:num w:numId="1">
    <w:abstractNumId w:val="2"/>
  </w:num>
  <w:num w:numId="2">
    <w:abstractNumId w:val="1"/>
  </w:num>
  <w:num w:numId="3">
    <w:abstractNumId w:val="6"/>
  </w:num>
  <w:num w:numId="4">
    <w:abstractNumId w:val="5"/>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N2NhZTdhMDE3ZjdhNGIwZjk5ZDMxNDMwYjI5NjcifQ=="/>
  </w:docVars>
  <w:rsids>
    <w:rsidRoot w:val="352028E4"/>
    <w:rsid w:val="00393DC6"/>
    <w:rsid w:val="00557D21"/>
    <w:rsid w:val="005B5207"/>
    <w:rsid w:val="0067725B"/>
    <w:rsid w:val="01A26771"/>
    <w:rsid w:val="01EE6970"/>
    <w:rsid w:val="03932C46"/>
    <w:rsid w:val="04276DD5"/>
    <w:rsid w:val="06B96522"/>
    <w:rsid w:val="08135A2E"/>
    <w:rsid w:val="08314631"/>
    <w:rsid w:val="08684365"/>
    <w:rsid w:val="094E057E"/>
    <w:rsid w:val="0B542E1A"/>
    <w:rsid w:val="0E343C97"/>
    <w:rsid w:val="0FD91888"/>
    <w:rsid w:val="146B2910"/>
    <w:rsid w:val="14B24AC5"/>
    <w:rsid w:val="14EB17FF"/>
    <w:rsid w:val="156C2EC6"/>
    <w:rsid w:val="18143E68"/>
    <w:rsid w:val="18E35613"/>
    <w:rsid w:val="1E890EA3"/>
    <w:rsid w:val="1F0E6B4A"/>
    <w:rsid w:val="1F3110F8"/>
    <w:rsid w:val="1FCE593B"/>
    <w:rsid w:val="22573150"/>
    <w:rsid w:val="22895117"/>
    <w:rsid w:val="2331285C"/>
    <w:rsid w:val="26674CE1"/>
    <w:rsid w:val="2869115B"/>
    <w:rsid w:val="288C5CF8"/>
    <w:rsid w:val="29B069A7"/>
    <w:rsid w:val="2A157B78"/>
    <w:rsid w:val="2C012E11"/>
    <w:rsid w:val="2C5F50DB"/>
    <w:rsid w:val="2CD051D7"/>
    <w:rsid w:val="31681887"/>
    <w:rsid w:val="31772ECA"/>
    <w:rsid w:val="352028E4"/>
    <w:rsid w:val="359C547C"/>
    <w:rsid w:val="375A7F25"/>
    <w:rsid w:val="380C30EE"/>
    <w:rsid w:val="38842354"/>
    <w:rsid w:val="393F251C"/>
    <w:rsid w:val="39423399"/>
    <w:rsid w:val="395E3EB9"/>
    <w:rsid w:val="397927F5"/>
    <w:rsid w:val="3B650A37"/>
    <w:rsid w:val="3C2C1209"/>
    <w:rsid w:val="41804CF1"/>
    <w:rsid w:val="438473C2"/>
    <w:rsid w:val="43C703BF"/>
    <w:rsid w:val="48C32E71"/>
    <w:rsid w:val="49106FD2"/>
    <w:rsid w:val="49E34FBE"/>
    <w:rsid w:val="4A397FCE"/>
    <w:rsid w:val="4B93319E"/>
    <w:rsid w:val="4C9D0F6B"/>
    <w:rsid w:val="4EA70D58"/>
    <w:rsid w:val="53AF26BC"/>
    <w:rsid w:val="56DF6F78"/>
    <w:rsid w:val="57D65496"/>
    <w:rsid w:val="57F86260"/>
    <w:rsid w:val="5A513A05"/>
    <w:rsid w:val="5ABC61F0"/>
    <w:rsid w:val="5B5E79D3"/>
    <w:rsid w:val="5B767C27"/>
    <w:rsid w:val="5C003935"/>
    <w:rsid w:val="5CB8091F"/>
    <w:rsid w:val="5E776DDC"/>
    <w:rsid w:val="5ECF2E97"/>
    <w:rsid w:val="60600093"/>
    <w:rsid w:val="62783EEC"/>
    <w:rsid w:val="627D6E20"/>
    <w:rsid w:val="649A2BF6"/>
    <w:rsid w:val="64A55079"/>
    <w:rsid w:val="656B498A"/>
    <w:rsid w:val="65CA4007"/>
    <w:rsid w:val="65D633E1"/>
    <w:rsid w:val="669F374F"/>
    <w:rsid w:val="6A8C75A6"/>
    <w:rsid w:val="6C02344D"/>
    <w:rsid w:val="74976BA2"/>
    <w:rsid w:val="749C64CD"/>
    <w:rsid w:val="74E05032"/>
    <w:rsid w:val="756413D0"/>
    <w:rsid w:val="763118FF"/>
    <w:rsid w:val="773C4CFC"/>
    <w:rsid w:val="799C7416"/>
    <w:rsid w:val="7A3B2320"/>
    <w:rsid w:val="7D845D1C"/>
    <w:rsid w:val="7E425D92"/>
    <w:rsid w:val="7F174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keepNext/>
      <w:keepLines/>
      <w:adjustRightInd w:val="0"/>
      <w:spacing w:beforeLines="50" w:afterLines="50"/>
      <w:ind w:firstLine="200" w:firstLineChars="200"/>
      <w:jc w:val="left"/>
      <w:textAlignment w:val="baseline"/>
      <w:outlineLvl w:val="1"/>
    </w:pPr>
    <w:rPr>
      <w:rFonts w:ascii="Arial" w:hAnsi="Arial" w:eastAsia="黑体"/>
      <w:b/>
      <w:kern w:val="0"/>
      <w:sz w:val="24"/>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1"/>
    <w:unhideWhenUsed/>
    <w:qFormat/>
    <w:uiPriority w:val="99"/>
    <w:pPr>
      <w:spacing w:after="120"/>
      <w:ind w:left="420" w:leftChars="200"/>
    </w:pPr>
  </w:style>
  <w:style w:type="paragraph" w:styleId="5">
    <w:name w:val="Normal Indent"/>
    <w:basedOn w:val="1"/>
    <w:next w:val="1"/>
    <w:qFormat/>
    <w:uiPriority w:val="0"/>
    <w:pPr>
      <w:spacing w:line="360" w:lineRule="auto"/>
      <w:ind w:firstLine="420"/>
    </w:pPr>
    <w:rPr>
      <w:sz w:val="24"/>
      <w:szCs w:val="20"/>
    </w:rPr>
  </w:style>
  <w:style w:type="paragraph" w:styleId="6">
    <w:name w:val="annotation text"/>
    <w:basedOn w:val="1"/>
    <w:semiHidden/>
    <w:unhideWhenUsed/>
    <w:qFormat/>
    <w:uiPriority w:val="99"/>
    <w:pPr>
      <w:jc w:val="left"/>
    </w:pPr>
  </w:style>
  <w:style w:type="paragraph" w:styleId="7">
    <w:name w:val="Body Text"/>
    <w:basedOn w:val="1"/>
    <w:next w:val="8"/>
    <w:qFormat/>
    <w:uiPriority w:val="99"/>
    <w:pPr>
      <w:spacing w:line="360" w:lineRule="auto"/>
    </w:pPr>
    <w:rPr>
      <w:sz w:val="24"/>
      <w:szCs w:val="20"/>
    </w:rPr>
  </w:style>
  <w:style w:type="paragraph" w:styleId="8">
    <w:name w:val="Body Text First Indent"/>
    <w:basedOn w:val="7"/>
    <w:next w:val="1"/>
    <w:qFormat/>
    <w:uiPriority w:val="99"/>
    <w:pPr>
      <w:spacing w:after="120" w:line="520" w:lineRule="exact"/>
      <w:ind w:firstLine="100" w:firstLineChars="100"/>
      <w:jc w:val="left"/>
    </w:pPr>
    <w:rPr>
      <w:sz w:val="28"/>
    </w:rPr>
  </w:style>
  <w:style w:type="paragraph" w:styleId="9">
    <w:name w:val="Block Text"/>
    <w:basedOn w:val="1"/>
    <w:qFormat/>
    <w:uiPriority w:val="0"/>
    <w:pPr>
      <w:ind w:left="1200" w:right="-72" w:hanging="30"/>
    </w:pPr>
    <w:rPr>
      <w:rFonts w:ascii="Arial" w:hAnsi="Arial" w:eastAsia="幼圆" w:cs="Arial"/>
      <w:sz w:val="22"/>
      <w:szCs w:val="20"/>
    </w:rPr>
  </w:style>
  <w:style w:type="paragraph" w:styleId="10">
    <w:name w:val="Plain Text"/>
    <w:basedOn w:val="1"/>
    <w:qFormat/>
    <w:uiPriority w:val="0"/>
    <w:rPr>
      <w:rFonts w:ascii="宋体" w:hAnsi="宋体"/>
      <w:szCs w:val="21"/>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ind w:firstLine="200" w:firstLineChars="200"/>
      <w:jc w:val="center"/>
    </w:pPr>
    <w:rPr>
      <w:sz w:val="18"/>
      <w:szCs w:val="21"/>
    </w:rPr>
  </w:style>
  <w:style w:type="paragraph" w:styleId="13">
    <w:name w:val="toc 1"/>
    <w:basedOn w:val="1"/>
    <w:next w:val="1"/>
    <w:qFormat/>
    <w:uiPriority w:val="39"/>
  </w:style>
  <w:style w:type="paragraph" w:styleId="14">
    <w:name w:val="toc 6"/>
    <w:basedOn w:val="1"/>
    <w:next w:val="1"/>
    <w:qFormat/>
    <w:uiPriority w:val="0"/>
    <w:pPr>
      <w:ind w:left="1400"/>
      <w:jc w:val="left"/>
    </w:pPr>
    <w:rPr>
      <w:rFonts w:ascii="Calibri" w:hAnsi="Calibri"/>
      <w:sz w:val="18"/>
      <w:szCs w:val="20"/>
    </w:r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Title"/>
    <w:basedOn w:val="1"/>
    <w:next w:val="1"/>
    <w:qFormat/>
    <w:uiPriority w:val="10"/>
    <w:pPr>
      <w:spacing w:before="240" w:after="60"/>
    </w:pPr>
    <w:rPr>
      <w:rFonts w:ascii="Cambria" w:hAnsi="Cambria"/>
      <w:b/>
      <w:bCs/>
      <w:kern w:val="0"/>
      <w:sz w:val="24"/>
      <w:szCs w:val="32"/>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qFormat/>
    <w:uiPriority w:val="0"/>
  </w:style>
  <w:style w:type="character" w:styleId="21">
    <w:name w:val="Hyperlink"/>
    <w:qFormat/>
    <w:uiPriority w:val="99"/>
    <w:rPr>
      <w:color w:val="0000FF"/>
      <w:u w:val="single"/>
    </w:rPr>
  </w:style>
  <w:style w:type="paragraph" w:customStyle="1" w:styleId="22">
    <w:name w:val="_Style 2"/>
    <w:basedOn w:val="1"/>
    <w:next w:val="1"/>
    <w:qFormat/>
    <w:uiPriority w:val="0"/>
    <w:pPr>
      <w:ind w:firstLine="200" w:firstLineChars="200"/>
    </w:pPr>
    <w:rPr>
      <w:sz w:val="28"/>
    </w:rPr>
  </w:style>
  <w:style w:type="paragraph" w:styleId="23">
    <w:name w:val="List Paragraph"/>
    <w:basedOn w:val="1"/>
    <w:qFormat/>
    <w:uiPriority w:val="1"/>
    <w:pPr>
      <w:ind w:firstLine="420" w:firstLineChars="200"/>
    </w:pPr>
    <w:rPr>
      <w:rFonts w:ascii="Calibri" w:hAnsi="Calibri"/>
      <w:szCs w:val="22"/>
    </w:rPr>
  </w:style>
  <w:style w:type="paragraph" w:customStyle="1" w:styleId="24">
    <w:name w:val="_Style 1"/>
    <w:qFormat/>
    <w:uiPriority w:val="0"/>
    <w:rPr>
      <w:rFonts w:ascii="Calibri" w:hAnsi="Calibri" w:eastAsia="宋体" w:cs="Times New Roman"/>
      <w:kern w:val="2"/>
      <w:sz w:val="28"/>
      <w:szCs w:val="22"/>
      <w:lang w:val="en-US" w:eastAsia="zh-CN" w:bidi="ar-SA"/>
    </w:rPr>
  </w:style>
  <w:style w:type="paragraph" w:customStyle="1" w:styleId="25">
    <w:name w:val="2章节"/>
    <w:basedOn w:val="1"/>
    <w:qFormat/>
    <w:uiPriority w:val="0"/>
    <w:pPr>
      <w:widowControl/>
      <w:numPr>
        <w:ilvl w:val="0"/>
        <w:numId w:val="1"/>
      </w:numPr>
      <w:spacing w:after="200" w:line="276" w:lineRule="auto"/>
      <w:ind w:right="100" w:rightChars="100"/>
      <w:jc w:val="left"/>
      <w:outlineLvl w:val="0"/>
    </w:pPr>
    <w:rPr>
      <w:rFonts w:eastAsia="仿宋_GB2312"/>
      <w:b/>
      <w:sz w:val="28"/>
      <w:szCs w:val="22"/>
    </w:rPr>
  </w:style>
  <w:style w:type="paragraph" w:customStyle="1" w:styleId="26">
    <w:name w:val="表格文字"/>
    <w:basedOn w:val="1"/>
    <w:qFormat/>
    <w:uiPriority w:val="0"/>
    <w:pPr>
      <w:spacing w:before="25" w:after="25"/>
      <w:jc w:val="left"/>
    </w:pPr>
    <w:rPr>
      <w:bCs/>
      <w:spacing w:val="10"/>
      <w:kern w:val="0"/>
      <w:sz w:val="24"/>
      <w:szCs w:val="20"/>
    </w:rPr>
  </w:style>
  <w:style w:type="paragraph" w:customStyle="1" w:styleId="27">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table" w:customStyle="1" w:styleId="28">
    <w:name w:val="Table Normal"/>
    <w:semiHidden/>
    <w:unhideWhenUsed/>
    <w:qFormat/>
    <w:uiPriority w:val="0"/>
    <w:rPr>
      <w:rFonts w:ascii="Arial" w:hAnsi="Arial" w:cs="Arial" w:eastAsiaTheme="minorEastAsi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9" Type="http://schemas.openxmlformats.org/officeDocument/2006/relationships/fontTable" Target="fontTable.xml"/><Relationship Id="rId68" Type="http://schemas.openxmlformats.org/officeDocument/2006/relationships/numbering" Target="numbering.xml"/><Relationship Id="rId67" Type="http://schemas.openxmlformats.org/officeDocument/2006/relationships/customXml" Target="../customXml/item1.xml"/><Relationship Id="rId66" Type="http://schemas.openxmlformats.org/officeDocument/2006/relationships/image" Target="media/image45.jpeg"/><Relationship Id="rId65" Type="http://schemas.openxmlformats.org/officeDocument/2006/relationships/image" Target="media/image44.jpeg"/><Relationship Id="rId64" Type="http://schemas.openxmlformats.org/officeDocument/2006/relationships/image" Target="media/image43.jpeg"/><Relationship Id="rId63" Type="http://schemas.openxmlformats.org/officeDocument/2006/relationships/image" Target="media/image42.jpeg"/><Relationship Id="rId62" Type="http://schemas.openxmlformats.org/officeDocument/2006/relationships/image" Target="../NULL"/><Relationship Id="rId61" Type="http://schemas.openxmlformats.org/officeDocument/2006/relationships/image" Target="media/image40.jpeg"/><Relationship Id="rId60" Type="http://schemas.openxmlformats.org/officeDocument/2006/relationships/image" Target="media/image39.jpeg"/><Relationship Id="rId6" Type="http://schemas.openxmlformats.org/officeDocument/2006/relationships/footer" Target="footer1.xml"/><Relationship Id="rId59" Type="http://schemas.openxmlformats.org/officeDocument/2006/relationships/image" Target="media/image38.jpeg"/><Relationship Id="rId58" Type="http://schemas.openxmlformats.org/officeDocument/2006/relationships/image" Target="media/image37.jpeg"/><Relationship Id="rId57" Type="http://schemas.openxmlformats.org/officeDocument/2006/relationships/image" Target="media/image36.jpeg"/><Relationship Id="rId56" Type="http://schemas.openxmlformats.org/officeDocument/2006/relationships/image" Target="media/image35.jpeg"/><Relationship Id="rId55" Type="http://schemas.openxmlformats.org/officeDocument/2006/relationships/image" Target="media/image34.jpeg"/><Relationship Id="rId54" Type="http://schemas.openxmlformats.org/officeDocument/2006/relationships/image" Target="media/image33.jpeg"/><Relationship Id="rId53" Type="http://schemas.openxmlformats.org/officeDocument/2006/relationships/image" Target="media/image32.jpeg"/><Relationship Id="rId52" Type="http://schemas.openxmlformats.org/officeDocument/2006/relationships/image" Target="media/image31.jpeg"/><Relationship Id="rId51" Type="http://schemas.openxmlformats.org/officeDocument/2006/relationships/image" Target="media/image30.jpeg"/><Relationship Id="rId50" Type="http://schemas.openxmlformats.org/officeDocument/2006/relationships/image" Target="media/image29.jpeg"/><Relationship Id="rId5" Type="http://schemas.openxmlformats.org/officeDocument/2006/relationships/header" Target="header3.xml"/><Relationship Id="rId49" Type="http://schemas.openxmlformats.org/officeDocument/2006/relationships/image" Target="media/image28.jpeg"/><Relationship Id="rId48" Type="http://schemas.openxmlformats.org/officeDocument/2006/relationships/image" Target="media/image27.jpeg"/><Relationship Id="rId47" Type="http://schemas.openxmlformats.org/officeDocument/2006/relationships/image" Target="media/image26.jpeg"/><Relationship Id="rId46" Type="http://schemas.openxmlformats.org/officeDocument/2006/relationships/image" Target="media/image25.jpeg"/><Relationship Id="rId45" Type="http://schemas.openxmlformats.org/officeDocument/2006/relationships/image" Target="media/image24.jpeg"/><Relationship Id="rId44" Type="http://schemas.openxmlformats.org/officeDocument/2006/relationships/image" Target="media/image23.jpeg"/><Relationship Id="rId43" Type="http://schemas.openxmlformats.org/officeDocument/2006/relationships/image" Target="media/image22.jpeg"/><Relationship Id="rId42" Type="http://schemas.openxmlformats.org/officeDocument/2006/relationships/image" Target="media/image21.jpeg"/><Relationship Id="rId41" Type="http://schemas.openxmlformats.org/officeDocument/2006/relationships/image" Target="media/image20.jpeg"/><Relationship Id="rId40" Type="http://schemas.openxmlformats.org/officeDocument/2006/relationships/image" Target="media/image19.jpeg"/><Relationship Id="rId4" Type="http://schemas.openxmlformats.org/officeDocument/2006/relationships/header" Target="header2.xml"/><Relationship Id="rId39" Type="http://schemas.openxmlformats.org/officeDocument/2006/relationships/image" Target="media/image18.jpeg"/><Relationship Id="rId38" Type="http://schemas.openxmlformats.org/officeDocument/2006/relationships/image" Target="media/image17.jpeg"/><Relationship Id="rId37" Type="http://schemas.openxmlformats.org/officeDocument/2006/relationships/image" Target="media/image16.jpeg"/><Relationship Id="rId36" Type="http://schemas.openxmlformats.org/officeDocument/2006/relationships/image" Target="media/image15.jpeg"/><Relationship Id="rId35" Type="http://schemas.openxmlformats.org/officeDocument/2006/relationships/image" Target="media/image14.jpeg"/><Relationship Id="rId34" Type="http://schemas.openxmlformats.org/officeDocument/2006/relationships/image" Target="media/image13.jpeg"/><Relationship Id="rId33" Type="http://schemas.openxmlformats.org/officeDocument/2006/relationships/image" Target="media/image12.jpeg"/><Relationship Id="rId32" Type="http://schemas.openxmlformats.org/officeDocument/2006/relationships/image" Target="media/image11.jpeg"/><Relationship Id="rId31" Type="http://schemas.openxmlformats.org/officeDocument/2006/relationships/image" Target="media/image10.jpeg"/><Relationship Id="rId30" Type="http://schemas.openxmlformats.org/officeDocument/2006/relationships/image" Target="media/image9.jpeg"/><Relationship Id="rId3" Type="http://schemas.openxmlformats.org/officeDocument/2006/relationships/header" Target="header1.xml"/><Relationship Id="rId29" Type="http://schemas.openxmlformats.org/officeDocument/2006/relationships/image" Target="media/image8.jpeg"/><Relationship Id="rId28" Type="http://schemas.openxmlformats.org/officeDocument/2006/relationships/image" Target="media/image7.jpeg"/><Relationship Id="rId27" Type="http://schemas.openxmlformats.org/officeDocument/2006/relationships/image" Target="media/image6.jpeg"/><Relationship Id="rId26" Type="http://schemas.openxmlformats.org/officeDocument/2006/relationships/image" Target="media/image5.jpeg"/><Relationship Id="rId25" Type="http://schemas.openxmlformats.org/officeDocument/2006/relationships/image" Target="media/image4.jpeg"/><Relationship Id="rId24" Type="http://schemas.openxmlformats.org/officeDocument/2006/relationships/image" Target="media/image3.jpeg"/><Relationship Id="rId23" Type="http://schemas.openxmlformats.org/officeDocument/2006/relationships/image" Target="media/image2.jpeg"/><Relationship Id="rId22" Type="http://schemas.openxmlformats.org/officeDocument/2006/relationships/image" Target="media/image1.jpeg"/><Relationship Id="rId21" Type="http://schemas.openxmlformats.org/officeDocument/2006/relationships/theme" Target="theme/theme1.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header" Target="header5.xml"/><Relationship Id="rId16" Type="http://schemas.openxmlformats.org/officeDocument/2006/relationships/header" Target="header4.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61</Pages>
  <Words>6136</Words>
  <Characters>6828</Characters>
  <Lines>0</Lines>
  <Paragraphs>0</Paragraphs>
  <TotalTime>8</TotalTime>
  <ScaleCrop>false</ScaleCrop>
  <LinksUpToDate>false</LinksUpToDate>
  <CharactersWithSpaces>6970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2024-12-17T07:22:00Z</dcterms:created>
  <dc:creator>Always</dc:creator>
  <cp:lastModifiedBy>顽童</cp:lastModifiedBy>
  <dcterms:modified xsi:type="dcterms:W3CDTF">2026-10-14T08:20:12Z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126C16087D8249B68C359CA001230F6D_13</vt:lpwstr>
  </property>
  <property fmtid="{D5CDD505-2E9C-101B-9397-08002B2CF9AE}" pid="4" name="KSOTemplateDocerSaveRecord">
    <vt:lpwstr>eyJoZGlkIjoiMDQ3MDU2M2E1YzgxYzZhOTc5MjMzNzQxZWMzMTNlM2IiLCJ1c2VySWQiOiI1MTc4NzczOTMifQ==</vt:lpwstr>
  </property>
</Properties>
</file>