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华电榆林风机塔筒清洗补漆（二年）</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陕西省 / 榆林市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风电塔筒清洗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陕西华电榆林新能源有限公司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2026-10-26</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2026-10-29 17:00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辛宝祥 / 13484508788</w:t>
            </w:r>
          </w:p>
        </w:tc>
      </w:tr>
    </w:tbl>
    <w:p>
      <w:pPr>
        <w:spacing w:before="280" w:after="120"/>
      </w:pPr>
      <w:r>
        <w:rPr>
          <w:rFonts w:ascii="Times New Roman" w:hAnsi="Times New Roman" w:eastAsia="微软雅黑"/>
          <w:b/>
          <w:color w:val="FE4C4C"/>
          <w:sz w:val="28"/>
        </w:rPr>
        <w:t>▍项目概况（据原文公告）</w:t>
      </w:r>
    </w:p>
    <w:p>
      <w:r>
        <w:t>本项目为华电陕西能源有限公司榆林新能源公司风机塔筒清洗及内外壁防腐补漆服务，采购单编号GX-202610-004945，采购人陕西华电榆林新能源有限公司，采购代理机构华电陕西能源有限公司，采用公开询比采购、服务类、整单报价，税率9%，服务期二年，服务开始时间2026年11月30日。采购范围为榆林新能源公司风机塔筒清洗及内外壁防腐补漆。资格条件要求供应商自2023年1月1日起至本项目报价截止之日，具有至少1项风机塔筒机器人清洗或塔筒补漆或塔筒除锈的合同业绩，并提供合同封面、供货范围页或清单页、主要技术要求页、签字盖章页等原件扫描件；供应商不得被列入华电集团不良供应商名单、严重违法失信企业名单或严重失信主体名单；本项目不接受联合体报价。报价截止时间为2026年10月29日17时，响应文件通过华电集团电子商务平台供应商客户端递交。</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本标讯为陕西省 / 榆林市风电塔筒清洗类项目，招标单位为 陕西华电榆林新能源有限公司。报名截止时间为 2026-10-29 17:00，建议投标方重点核对高空作业资质、人员保险、安全施工方案及业绩案例要求，并在原公告渠道下载正式招标文件。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风电塔筒清洗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陕西省 / 榆林市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工业高空场景：重点说明不停电/不影响产能的施工窗口安排，以及设备保护、废弃物回收措施。</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针对「风电塔筒清洗」场景，蜘蛛工整理了配套清洁方案、作业标准、标书模板及投标必备资料，供会员企业参考使用，可进入方案页面查看详情：https://www.zhizhutegong.com/plan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本文档由蜘蛛工标讯系统自动生成，内容采集整理自公开渠道；生成时间：2026-10-26 13:50。最新信息请以官方原公告为准。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