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某单位石材养护服务询比采购公告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253,440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某单位（详见公告）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周安琪 / 0571-87666113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石材养护服务采购项目的潜在供应商应在乐采云平台（https://www.lecaiyun.com）获取（下载）询比文件，并于2026年11月03日14点00分（北京时间）前递交响应文件。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杭州市石材翻新养护类项目，招标单位为 某单位（详见公告）；预算/金额约 253,440 元。报名截止时间为 2026-11-03 14:00，预计开标时间为 2026-11-03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253,440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对药剂品牌、结晶工艺、光泽度验收标准较敏感，常要求提供小样或工艺说明。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石材翻新场景：突出药剂中性环保、结晶工艺流程、验收光泽度标准及质保期限。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报价策略：结合预算 253,440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7.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针对「石材翻新养护」场景，蜘蛛工整理了配套清洁方案、作业标准、标书模板及投标必备资料，供会员企业参考使用，可进入方案页面查看详情：https://www.zhizhutegong.com/plan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12:54。最新信息请以官方原公告为准。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