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EC455F">
      <w:pPr>
        <w:spacing w:line="600" w:lineRule="exact"/>
        <w:jc w:val="center"/>
        <w:rPr>
          <w:rFonts w:hint="eastAsia" w:ascii="Times New Roman" w:hAnsi="Times New Roman" w:eastAsia="方正小标宋简体" w:cs="Times New Roman"/>
          <w:sz w:val="40"/>
          <w:szCs w:val="40"/>
          <w:lang w:eastAsia="zh-CN"/>
        </w:rPr>
      </w:pPr>
      <w:r>
        <w:rPr>
          <w:rFonts w:hint="eastAsia" w:ascii="Times New Roman" w:hAnsi="Times New Roman" w:eastAsia="方正小标宋简体" w:cs="Times New Roman"/>
          <w:sz w:val="40"/>
          <w:szCs w:val="40"/>
          <w:lang w:eastAsia="zh-CN"/>
        </w:rPr>
        <w:t>义乌市中国小商品城物业服务有限公司</w:t>
      </w:r>
    </w:p>
    <w:p w14:paraId="0BA131D9">
      <w:pPr>
        <w:spacing w:line="600" w:lineRule="exact"/>
        <w:jc w:val="center"/>
        <w:rPr>
          <w:rFonts w:hint="eastAsia" w:eastAsia="方正小标宋简体"/>
          <w:sz w:val="28"/>
          <w:szCs w:val="28"/>
          <w:lang w:val="en-US" w:eastAsia="zh-CN"/>
        </w:rPr>
      </w:pPr>
      <w:r>
        <w:rPr>
          <w:rFonts w:hint="eastAsia" w:ascii="Times New Roman" w:hAnsi="Times New Roman" w:eastAsia="方正小标宋简体" w:cs="Times New Roman"/>
          <w:sz w:val="40"/>
          <w:szCs w:val="40"/>
          <w:lang w:eastAsia="zh-CN"/>
        </w:rPr>
        <w:t>玻璃幕墙清洗服务采购合同</w:t>
      </w:r>
    </w:p>
    <w:p w14:paraId="4068F031">
      <w:pPr>
        <w:rPr>
          <w:rFonts w:hint="eastAsia"/>
          <w:szCs w:val="21"/>
        </w:rPr>
      </w:pPr>
    </w:p>
    <w:p w14:paraId="0DCEDEAC">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甲方：义乌市中国小商品城物业服务有限公司（以下简称甲方）</w:t>
      </w:r>
    </w:p>
    <w:p w14:paraId="2532E3B6">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乙方：</w:t>
      </w:r>
      <w:r>
        <w:rPr>
          <w:rFonts w:hint="eastAsia"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rPr>
        <w:t>（以下简称乙方）</w:t>
      </w:r>
    </w:p>
    <w:p w14:paraId="2C105767">
      <w:pPr>
        <w:tabs>
          <w:tab w:val="left" w:pos="8820"/>
        </w:tabs>
        <w:spacing w:before="0" w:line="328" w:lineRule="auto"/>
        <w:ind w:right="138" w:rightChars="0" w:firstLine="560" w:firstLineChars="200"/>
        <w:jc w:val="both"/>
        <w:rPr>
          <w:sz w:val="22"/>
          <w:szCs w:val="22"/>
        </w:rPr>
      </w:pPr>
      <w:r>
        <w:rPr>
          <w:rFonts w:hint="eastAsia" w:ascii="Times New Roman" w:hAnsi="Times New Roman" w:eastAsia="仿宋_GB2312" w:cs="Times New Roman"/>
          <w:sz w:val="28"/>
          <w:szCs w:val="28"/>
          <w:lang w:eastAsia="zh-CN"/>
        </w:rPr>
        <w:t>甲、乙双方根据202</w:t>
      </w:r>
      <w:r>
        <w:rPr>
          <w:rFonts w:hint="eastAsia" w:ascii="Times New Roman" w:hAnsi="Times New Roman" w:eastAsia="仿宋_GB2312" w:cs="Times New Roman"/>
          <w:sz w:val="28"/>
          <w:szCs w:val="28"/>
          <w:lang w:val="en-US" w:eastAsia="zh-CN"/>
        </w:rPr>
        <w:t>6</w:t>
      </w:r>
      <w:r>
        <w:rPr>
          <w:rFonts w:hint="eastAsia" w:ascii="Times New Roman" w:hAnsi="Times New Roman" w:eastAsia="仿宋_GB2312" w:cs="Times New Roman"/>
          <w:sz w:val="28"/>
          <w:szCs w:val="28"/>
          <w:lang w:eastAsia="zh-CN"/>
        </w:rPr>
        <w:t xml:space="preserve">年 </w:t>
      </w:r>
      <w:r>
        <w:rPr>
          <w:rFonts w:hint="eastAsia"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lang w:eastAsia="zh-CN"/>
        </w:rPr>
        <w:t>月</w:t>
      </w:r>
      <w:r>
        <w:rPr>
          <w:rFonts w:hint="eastAsia"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lang w:eastAsia="zh-CN"/>
        </w:rPr>
        <w:t>日</w:t>
      </w:r>
      <w:r>
        <w:rPr>
          <w:rFonts w:hint="eastAsia" w:ascii="Times New Roman" w:hAnsi="Times New Roman" w:eastAsia="仿宋_GB2312" w:cs="Times New Roman"/>
          <w:sz w:val="28"/>
          <w:szCs w:val="28"/>
          <w:u w:val="single"/>
          <w:lang w:eastAsia="zh-CN"/>
        </w:rPr>
        <w:t>义乌市中国小商品城物业服务有限公司玻璃幕墙清洗服务采购</w:t>
      </w:r>
      <w:r>
        <w:rPr>
          <w:rFonts w:hint="eastAsia" w:ascii="Times New Roman" w:hAnsi="Times New Roman" w:eastAsia="仿宋_GB2312" w:cs="Times New Roman"/>
          <w:sz w:val="28"/>
          <w:szCs w:val="28"/>
          <w:u w:val="none"/>
          <w:lang w:eastAsia="zh-CN"/>
        </w:rPr>
        <w:t>项目</w:t>
      </w:r>
      <w:r>
        <w:rPr>
          <w:rFonts w:hint="eastAsia" w:ascii="Times New Roman" w:hAnsi="Times New Roman" w:eastAsia="仿宋_GB2312" w:cs="Times New Roman"/>
          <w:sz w:val="28"/>
          <w:szCs w:val="28"/>
          <w:lang w:eastAsia="zh-CN"/>
        </w:rPr>
        <w:t>开标结果，依据《中华人民共和国民法典》并经双方协调一致，订立本采购合同。</w:t>
      </w:r>
    </w:p>
    <w:p w14:paraId="6AF1F5F2">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Times New Roman" w:hAnsi="Times New Roman" w:eastAsia="黑体" w:cs="Times New Roman"/>
          <w:sz w:val="28"/>
          <w:szCs w:val="28"/>
        </w:rPr>
      </w:pPr>
      <w:r>
        <w:rPr>
          <w:rFonts w:hint="eastAsia" w:ascii="Times New Roman" w:hAnsi="Times New Roman" w:eastAsia="黑体" w:cs="Times New Roman"/>
          <w:sz w:val="28"/>
          <w:szCs w:val="28"/>
        </w:rPr>
        <w:t>一、合同文件</w:t>
      </w:r>
    </w:p>
    <w:p w14:paraId="190899EC">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下列文件也是构成本合同的有效组成部分：招标文件、报价表、中标通知书。</w:t>
      </w:r>
    </w:p>
    <w:p w14:paraId="1A5AAD3D">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黑体" w:cs="Times New Roman"/>
          <w:sz w:val="28"/>
          <w:szCs w:val="28"/>
        </w:rPr>
      </w:pPr>
      <w:r>
        <w:rPr>
          <w:rFonts w:hint="eastAsia" w:ascii="Times New Roman" w:hAnsi="Times New Roman" w:eastAsia="黑体" w:cs="Times New Roman"/>
          <w:sz w:val="28"/>
          <w:szCs w:val="28"/>
          <w:lang w:val="en-US" w:eastAsia="zh-CN"/>
        </w:rPr>
        <w:t>二、</w:t>
      </w:r>
      <w:r>
        <w:rPr>
          <w:rFonts w:hint="eastAsia" w:ascii="Times New Roman" w:hAnsi="Times New Roman" w:eastAsia="黑体" w:cs="Times New Roman"/>
          <w:sz w:val="28"/>
          <w:szCs w:val="28"/>
          <w:lang w:eastAsia="zh-CN"/>
        </w:rPr>
        <w:t>合同内容及金额</w:t>
      </w:r>
      <w:r>
        <w:rPr>
          <w:rFonts w:hint="eastAsia" w:ascii="Times New Roman" w:hAnsi="Times New Roman" w:eastAsia="黑体" w:cs="Times New Roman"/>
          <w:sz w:val="28"/>
          <w:szCs w:val="28"/>
        </w:rPr>
        <w:t>：</w:t>
      </w:r>
    </w:p>
    <w:tbl>
      <w:tblPr>
        <w:tblStyle w:val="7"/>
        <w:tblW w:w="56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346"/>
        <w:gridCol w:w="1458"/>
        <w:gridCol w:w="1916"/>
        <w:gridCol w:w="1819"/>
        <w:gridCol w:w="847"/>
        <w:gridCol w:w="1112"/>
        <w:gridCol w:w="1040"/>
      </w:tblGrid>
      <w:tr w14:paraId="5DF35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402" w:type="pct"/>
            <w:shd w:val="clear" w:color="auto" w:fill="auto"/>
            <w:vAlign w:val="center"/>
          </w:tcPr>
          <w:p w14:paraId="04AF0D08">
            <w:pPr>
              <w:spacing w:line="360" w:lineRule="auto"/>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序号</w:t>
            </w:r>
          </w:p>
        </w:tc>
        <w:tc>
          <w:tcPr>
            <w:tcW w:w="648" w:type="pct"/>
            <w:shd w:val="clear" w:color="auto" w:fill="auto"/>
            <w:vAlign w:val="center"/>
          </w:tcPr>
          <w:p w14:paraId="3D117653">
            <w:pPr>
              <w:spacing w:line="360" w:lineRule="auto"/>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服务名称</w:t>
            </w:r>
          </w:p>
        </w:tc>
        <w:tc>
          <w:tcPr>
            <w:tcW w:w="702" w:type="pct"/>
            <w:shd w:val="clear" w:color="auto" w:fill="auto"/>
            <w:vAlign w:val="center"/>
          </w:tcPr>
          <w:p w14:paraId="0FEA813A">
            <w:pPr>
              <w:spacing w:line="360" w:lineRule="auto"/>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要求及技术参数</w:t>
            </w:r>
          </w:p>
        </w:tc>
        <w:tc>
          <w:tcPr>
            <w:tcW w:w="923" w:type="pct"/>
            <w:shd w:val="clear" w:color="auto" w:fill="auto"/>
            <w:vAlign w:val="center"/>
          </w:tcPr>
          <w:p w14:paraId="597F4247">
            <w:pPr>
              <w:spacing w:line="360" w:lineRule="auto"/>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具体包含内容</w:t>
            </w:r>
          </w:p>
        </w:tc>
        <w:tc>
          <w:tcPr>
            <w:tcW w:w="876" w:type="pct"/>
            <w:shd w:val="clear" w:color="auto" w:fill="auto"/>
            <w:vAlign w:val="center"/>
          </w:tcPr>
          <w:p w14:paraId="047F84BF">
            <w:pPr>
              <w:spacing w:line="360" w:lineRule="auto"/>
              <w:jc w:val="center"/>
              <w:rPr>
                <w:rFonts w:hint="default"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幕墙参数</w:t>
            </w:r>
          </w:p>
        </w:tc>
        <w:tc>
          <w:tcPr>
            <w:tcW w:w="408" w:type="pct"/>
            <w:shd w:val="clear" w:color="auto" w:fill="auto"/>
            <w:vAlign w:val="center"/>
          </w:tcPr>
          <w:p w14:paraId="01D5532C">
            <w:pPr>
              <w:spacing w:line="360" w:lineRule="auto"/>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rPr>
              <w:t>数量</w:t>
            </w:r>
            <w:r>
              <w:rPr>
                <w:rFonts w:hint="eastAsia" w:ascii="仿宋_GB2312" w:hAnsi="仿宋_GB2312" w:eastAsia="仿宋_GB2312" w:cs="仿宋_GB2312"/>
                <w:color w:val="000000"/>
                <w:sz w:val="21"/>
                <w:szCs w:val="21"/>
                <w:lang w:eastAsia="zh-CN"/>
              </w:rPr>
              <w:t>（</w:t>
            </w:r>
            <w:r>
              <w:rPr>
                <w:rFonts w:hint="eastAsia" w:ascii="仿宋_GB2312" w:hAnsi="仿宋_GB2312" w:eastAsia="仿宋_GB2312" w:cs="仿宋_GB2312"/>
                <w:color w:val="000000"/>
                <w:sz w:val="21"/>
                <w:szCs w:val="21"/>
                <w:lang w:val="en-US" w:eastAsia="zh-CN"/>
              </w:rPr>
              <w:t>㎡</w:t>
            </w:r>
            <w:r>
              <w:rPr>
                <w:rFonts w:hint="eastAsia" w:ascii="仿宋_GB2312" w:hAnsi="仿宋_GB2312" w:eastAsia="仿宋_GB2312" w:cs="仿宋_GB2312"/>
                <w:color w:val="000000"/>
                <w:sz w:val="21"/>
                <w:szCs w:val="21"/>
                <w:lang w:eastAsia="zh-CN"/>
              </w:rPr>
              <w:t>）</w:t>
            </w:r>
          </w:p>
        </w:tc>
        <w:tc>
          <w:tcPr>
            <w:tcW w:w="536" w:type="pct"/>
            <w:shd w:val="clear" w:color="auto" w:fill="auto"/>
            <w:vAlign w:val="center"/>
          </w:tcPr>
          <w:p w14:paraId="0649F5E2">
            <w:pPr>
              <w:spacing w:line="360" w:lineRule="auto"/>
              <w:jc w:val="center"/>
              <w:rPr>
                <w:rFonts w:hint="default"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不含税</w:t>
            </w:r>
            <w:r>
              <w:rPr>
                <w:rFonts w:hint="eastAsia" w:ascii="仿宋_GB2312" w:hAnsi="仿宋_GB2312" w:eastAsia="仿宋_GB2312" w:cs="仿宋_GB2312"/>
                <w:color w:val="000000"/>
                <w:sz w:val="21"/>
                <w:szCs w:val="21"/>
              </w:rPr>
              <w:t>单价</w:t>
            </w:r>
            <w:r>
              <w:rPr>
                <w:rFonts w:hint="eastAsia" w:ascii="仿宋_GB2312" w:hAnsi="仿宋_GB2312" w:eastAsia="仿宋_GB2312" w:cs="仿宋_GB2312"/>
                <w:color w:val="000000"/>
                <w:sz w:val="21"/>
                <w:szCs w:val="21"/>
                <w:lang w:eastAsia="zh-CN"/>
              </w:rPr>
              <w:t>（</w:t>
            </w:r>
            <w:r>
              <w:rPr>
                <w:rFonts w:hint="eastAsia" w:ascii="仿宋_GB2312" w:hAnsi="仿宋_GB2312" w:eastAsia="仿宋_GB2312" w:cs="仿宋_GB2312"/>
                <w:color w:val="000000"/>
                <w:sz w:val="21"/>
                <w:szCs w:val="21"/>
                <w:lang w:val="en-US" w:eastAsia="zh-CN"/>
              </w:rPr>
              <w:t>元/㎡</w:t>
            </w:r>
            <w:r>
              <w:rPr>
                <w:rFonts w:hint="eastAsia" w:ascii="仿宋_GB2312" w:hAnsi="仿宋_GB2312" w:eastAsia="仿宋_GB2312" w:cs="仿宋_GB2312"/>
                <w:color w:val="000000"/>
                <w:sz w:val="21"/>
                <w:szCs w:val="21"/>
                <w:lang w:eastAsia="zh-CN"/>
              </w:rPr>
              <w:t>）</w:t>
            </w:r>
          </w:p>
        </w:tc>
        <w:tc>
          <w:tcPr>
            <w:tcW w:w="501" w:type="pct"/>
            <w:shd w:val="clear" w:color="auto" w:fill="auto"/>
            <w:vAlign w:val="center"/>
          </w:tcPr>
          <w:p w14:paraId="24A0A1EE">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宋体" w:hAnsi="宋体" w:eastAsia="宋体" w:cs="宋体"/>
                <w:sz w:val="21"/>
                <w:szCs w:val="21"/>
                <w:highlight w:val="none"/>
              </w:rPr>
            </w:pPr>
            <w:r>
              <w:rPr>
                <w:rFonts w:hint="eastAsia" w:ascii="仿宋_GB2312" w:hAnsi="仿宋_GB2312" w:eastAsia="仿宋_GB2312" w:cs="仿宋_GB2312"/>
                <w:color w:val="000000"/>
                <w:sz w:val="21"/>
                <w:szCs w:val="21"/>
                <w:lang w:val="en-US" w:eastAsia="zh-CN"/>
              </w:rPr>
              <w:t>不含税</w:t>
            </w:r>
            <w:r>
              <w:rPr>
                <w:rFonts w:hint="eastAsia" w:ascii="仿宋_GB2312" w:hAnsi="仿宋_GB2312" w:eastAsia="仿宋_GB2312" w:cs="仿宋_GB2312"/>
                <w:color w:val="000000"/>
                <w:sz w:val="21"/>
                <w:szCs w:val="21"/>
              </w:rPr>
              <w:t>金额</w:t>
            </w:r>
            <w:r>
              <w:rPr>
                <w:rFonts w:hint="eastAsia" w:ascii="仿宋_GB2312" w:hAnsi="仿宋_GB2312" w:eastAsia="仿宋_GB2312" w:cs="仿宋_GB2312"/>
                <w:color w:val="000000"/>
                <w:sz w:val="21"/>
                <w:szCs w:val="21"/>
                <w:lang w:val="en-US" w:eastAsia="zh-CN"/>
              </w:rPr>
              <w:t>小计</w:t>
            </w:r>
            <w:r>
              <w:rPr>
                <w:rFonts w:hint="eastAsia" w:ascii="仿宋_GB2312" w:hAnsi="仿宋_GB2312" w:eastAsia="仿宋_GB2312" w:cs="仿宋_GB2312"/>
                <w:color w:val="000000"/>
                <w:sz w:val="21"/>
                <w:szCs w:val="21"/>
              </w:rPr>
              <w:t>（元）</w:t>
            </w:r>
          </w:p>
        </w:tc>
      </w:tr>
      <w:tr w14:paraId="73B4F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2" w:hRule="atLeast"/>
          <w:jc w:val="center"/>
        </w:trPr>
        <w:tc>
          <w:tcPr>
            <w:tcW w:w="402" w:type="pct"/>
            <w:shd w:val="clear" w:color="auto" w:fill="auto"/>
            <w:vAlign w:val="center"/>
          </w:tcPr>
          <w:p w14:paraId="5C5775DE">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Times New Roman" w:eastAsia="仿宋_GB2312" w:cs="Times New Roman"/>
                <w:b/>
                <w:kern w:val="2"/>
                <w:sz w:val="21"/>
                <w:szCs w:val="21"/>
                <w:lang w:val="en-US" w:eastAsia="zh-CN" w:bidi="ar-SA"/>
              </w:rPr>
            </w:pPr>
            <w:r>
              <w:rPr>
                <w:rFonts w:hint="eastAsia" w:ascii="宋体" w:hAnsi="宋体" w:eastAsia="宋体" w:cs="宋体"/>
                <w:sz w:val="21"/>
                <w:szCs w:val="21"/>
                <w:highlight w:val="none"/>
                <w:lang w:val="en-US" w:eastAsia="zh-CN"/>
              </w:rPr>
              <w:t>1</w:t>
            </w:r>
          </w:p>
        </w:tc>
        <w:tc>
          <w:tcPr>
            <w:tcW w:w="648" w:type="pct"/>
            <w:shd w:val="clear" w:color="auto" w:fill="auto"/>
            <w:vAlign w:val="center"/>
          </w:tcPr>
          <w:p w14:paraId="2830147A">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仿宋_GB2312" w:eastAsia="仿宋_GB2312" w:hAnsiTheme="minorHAnsi" w:cstheme="minorBidi"/>
                <w:kern w:val="2"/>
                <w:sz w:val="21"/>
                <w:szCs w:val="21"/>
                <w:lang w:val="en-US" w:eastAsia="zh-CN" w:bidi="ar-SA"/>
              </w:rPr>
            </w:pPr>
            <w:r>
              <w:rPr>
                <w:rFonts w:hint="eastAsia" w:ascii="仿宋_GB2312" w:eastAsia="仿宋_GB2312"/>
                <w:szCs w:val="21"/>
                <w:lang w:val="en-US" w:eastAsia="zh-CN"/>
              </w:rPr>
              <w:t>商城集团大厦玻璃幕墙清洗</w:t>
            </w:r>
          </w:p>
        </w:tc>
        <w:tc>
          <w:tcPr>
            <w:tcW w:w="702" w:type="pct"/>
            <w:vMerge w:val="restart"/>
            <w:shd w:val="clear" w:color="auto" w:fill="auto"/>
            <w:vAlign w:val="center"/>
          </w:tcPr>
          <w:p w14:paraId="3D7C0398">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default" w:ascii="仿宋_GB2312" w:eastAsia="仿宋_GB2312" w:hAnsiTheme="minorHAnsi" w:cstheme="minorBidi"/>
                <w:kern w:val="2"/>
                <w:sz w:val="21"/>
                <w:szCs w:val="21"/>
                <w:lang w:val="en-US" w:eastAsia="zh-CN" w:bidi="ar-SA"/>
              </w:rPr>
            </w:pPr>
            <w:r>
              <w:rPr>
                <w:rFonts w:hint="eastAsia" w:ascii="仿宋_GB2312" w:eastAsia="仿宋_GB2312"/>
                <w:szCs w:val="21"/>
                <w:lang w:val="en-US" w:eastAsia="zh-CN"/>
              </w:rPr>
              <w:t>清洗要求整体干净、无污迹，严禁使用腐蚀性清洁剂和药水，根据五水共治要求，严禁随意倾倒污水，清洁剂。</w:t>
            </w:r>
          </w:p>
        </w:tc>
        <w:tc>
          <w:tcPr>
            <w:tcW w:w="923" w:type="pct"/>
            <w:vMerge w:val="restart"/>
            <w:shd w:val="clear" w:color="auto" w:fill="auto"/>
            <w:vAlign w:val="center"/>
          </w:tcPr>
          <w:p w14:paraId="2A628114">
            <w:pPr>
              <w:keepNext w:val="0"/>
              <w:keepLines w:val="0"/>
              <w:pageBreakBefore w:val="0"/>
              <w:widowControl w:val="0"/>
              <w:numPr>
                <w:ilvl w:val="0"/>
                <w:numId w:val="1"/>
              </w:numPr>
              <w:kinsoku/>
              <w:wordWrap/>
              <w:overflowPunct/>
              <w:topLinePunct w:val="0"/>
              <w:autoSpaceDE/>
              <w:autoSpaceDN/>
              <w:bidi w:val="0"/>
              <w:adjustRightInd/>
              <w:snapToGrid/>
              <w:spacing w:line="400" w:lineRule="exact"/>
              <w:jc w:val="left"/>
              <w:textAlignment w:val="auto"/>
              <w:outlineLvl w:val="9"/>
              <w:rPr>
                <w:rFonts w:hint="default" w:ascii="仿宋_GB2312" w:eastAsia="仿宋_GB2312"/>
                <w:szCs w:val="21"/>
                <w:lang w:val="en-US" w:eastAsia="zh-CN"/>
              </w:rPr>
            </w:pPr>
            <w:r>
              <w:rPr>
                <w:rFonts w:hint="eastAsia" w:ascii="仿宋_GB2312" w:eastAsia="仿宋_GB2312"/>
                <w:szCs w:val="21"/>
                <w:lang w:val="en-US" w:eastAsia="zh-CN"/>
              </w:rPr>
              <w:t>需清洗大楼</w:t>
            </w:r>
            <w:r>
              <w:rPr>
                <w:rFonts w:hint="default" w:ascii="仿宋_GB2312" w:eastAsia="仿宋_GB2312"/>
                <w:szCs w:val="21"/>
                <w:lang w:val="en-US" w:eastAsia="zh-CN"/>
              </w:rPr>
              <w:t>外立面玻璃幕墙</w:t>
            </w:r>
            <w:r>
              <w:rPr>
                <w:rFonts w:hint="eastAsia" w:ascii="仿宋_GB2312" w:eastAsia="仿宋_GB2312"/>
                <w:szCs w:val="21"/>
                <w:lang w:val="en-US" w:eastAsia="zh-CN"/>
              </w:rPr>
              <w:t>，</w:t>
            </w:r>
            <w:r>
              <w:rPr>
                <w:rFonts w:hint="default" w:ascii="仿宋_GB2312" w:eastAsia="仿宋_GB2312"/>
                <w:szCs w:val="21"/>
                <w:lang w:val="en-US" w:eastAsia="zh-CN"/>
              </w:rPr>
              <w:t>主立面、侧立面、背立面所有玻璃</w:t>
            </w:r>
            <w:r>
              <w:rPr>
                <w:rFonts w:hint="eastAsia" w:ascii="仿宋_GB2312" w:eastAsia="仿宋_GB2312"/>
                <w:szCs w:val="21"/>
                <w:lang w:val="en-US" w:eastAsia="zh-CN"/>
              </w:rPr>
              <w:t>。</w:t>
            </w:r>
          </w:p>
          <w:p w14:paraId="19340CE1">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jc w:val="left"/>
              <w:textAlignment w:val="auto"/>
              <w:outlineLvl w:val="9"/>
              <w:rPr>
                <w:rFonts w:hint="eastAsia" w:ascii="仿宋_GB2312" w:eastAsia="仿宋_GB2312"/>
                <w:szCs w:val="21"/>
                <w:lang w:val="en-US" w:eastAsia="zh-CN"/>
              </w:rPr>
            </w:pPr>
            <w:r>
              <w:rPr>
                <w:rFonts w:hint="eastAsia" w:ascii="仿宋_GB2312" w:eastAsia="仿宋_GB2312"/>
                <w:szCs w:val="21"/>
                <w:lang w:val="en-US" w:eastAsia="zh-CN"/>
              </w:rPr>
              <w:t>需清洗</w:t>
            </w:r>
            <w:r>
              <w:rPr>
                <w:rFonts w:hint="default" w:ascii="仿宋_GB2312" w:eastAsia="仿宋_GB2312"/>
                <w:szCs w:val="21"/>
                <w:lang w:val="en-US" w:eastAsia="zh-CN"/>
              </w:rPr>
              <w:t>玻璃幕墙金属框架结构</w:t>
            </w:r>
            <w:r>
              <w:rPr>
                <w:rFonts w:hint="eastAsia" w:ascii="仿宋_GB2312" w:eastAsia="仿宋_GB2312"/>
                <w:szCs w:val="21"/>
                <w:lang w:val="en-US" w:eastAsia="zh-CN"/>
              </w:rPr>
              <w:t>，</w:t>
            </w:r>
            <w:r>
              <w:rPr>
                <w:rFonts w:hint="default" w:ascii="仿宋_GB2312" w:eastAsia="仿宋_GB2312"/>
                <w:szCs w:val="21"/>
                <w:lang w:val="en-US" w:eastAsia="zh-CN"/>
              </w:rPr>
              <w:t>横向与纵向铝合金/钢材龙骨外表面灰尘、污渍及轻微氧化层去除不得损伤金属框架表</w:t>
            </w:r>
            <w:r>
              <w:rPr>
                <w:rFonts w:hint="eastAsia" w:ascii="仿宋_GB2312" w:eastAsia="仿宋_GB2312"/>
                <w:szCs w:val="21"/>
                <w:lang w:val="en-US" w:eastAsia="zh-CN"/>
              </w:rPr>
              <w:t>面</w:t>
            </w:r>
            <w:r>
              <w:rPr>
                <w:rFonts w:hint="default" w:ascii="仿宋_GB2312" w:eastAsia="仿宋_GB2312"/>
                <w:szCs w:val="21"/>
                <w:lang w:val="en-US" w:eastAsia="zh-CN"/>
              </w:rPr>
              <w:t>涂层</w:t>
            </w:r>
            <w:r>
              <w:rPr>
                <w:rFonts w:hint="eastAsia" w:ascii="仿宋_GB2312" w:eastAsia="仿宋_GB2312"/>
                <w:szCs w:val="21"/>
                <w:lang w:val="en-US" w:eastAsia="zh-CN"/>
              </w:rPr>
              <w:t>。</w:t>
            </w:r>
          </w:p>
          <w:p w14:paraId="53CBB996">
            <w:pPr>
              <w:keepNext w:val="0"/>
              <w:keepLines w:val="0"/>
              <w:pageBreakBefore w:val="0"/>
              <w:widowControl w:val="0"/>
              <w:numPr>
                <w:ilvl w:val="0"/>
                <w:numId w:val="1"/>
              </w:numPr>
              <w:kinsoku/>
              <w:wordWrap/>
              <w:overflowPunct/>
              <w:topLinePunct w:val="0"/>
              <w:autoSpaceDE/>
              <w:autoSpaceDN/>
              <w:bidi w:val="0"/>
              <w:adjustRightInd/>
              <w:snapToGrid/>
              <w:spacing w:line="400" w:lineRule="exact"/>
              <w:jc w:val="left"/>
              <w:textAlignment w:val="auto"/>
              <w:outlineLvl w:val="9"/>
              <w:rPr>
                <w:rFonts w:hint="eastAsia" w:ascii="仿宋_GB2312" w:eastAsia="仿宋_GB2312"/>
                <w:szCs w:val="21"/>
                <w:lang w:val="en-US" w:eastAsia="zh-CN"/>
              </w:rPr>
            </w:pPr>
            <w:r>
              <w:rPr>
                <w:rFonts w:hint="eastAsia" w:ascii="仿宋_GB2312" w:eastAsia="仿宋_GB2312"/>
                <w:szCs w:val="21"/>
                <w:lang w:val="en-US" w:eastAsia="zh-CN"/>
              </w:rPr>
              <w:t>需清洗</w:t>
            </w:r>
            <w:r>
              <w:rPr>
                <w:rFonts w:hint="default" w:ascii="仿宋_GB2312" w:eastAsia="仿宋_GB2312"/>
                <w:szCs w:val="21"/>
                <w:lang w:val="en-US" w:eastAsia="zh-CN"/>
              </w:rPr>
              <w:t>幕墙与其他外立面衔接处边角、缝隙</w:t>
            </w:r>
            <w:r>
              <w:rPr>
                <w:rFonts w:hint="eastAsia" w:ascii="仿宋_GB2312" w:eastAsia="仿宋_GB2312"/>
                <w:szCs w:val="21"/>
                <w:lang w:val="en-US" w:eastAsia="zh-CN"/>
              </w:rPr>
              <w:t>，</w:t>
            </w:r>
            <w:r>
              <w:rPr>
                <w:rFonts w:hint="default" w:ascii="仿宋_GB2312" w:eastAsia="仿宋_GB2312"/>
                <w:szCs w:val="21"/>
                <w:lang w:val="en-US" w:eastAsia="zh-CN"/>
              </w:rPr>
              <w:t>衔接区域积存的灰尘、杂物、蛛网需深入缝隙清理，避免污渍残留堆积</w:t>
            </w:r>
            <w:r>
              <w:rPr>
                <w:rFonts w:hint="eastAsia" w:ascii="仿宋_GB2312" w:eastAsia="仿宋_GB2312"/>
                <w:szCs w:val="21"/>
                <w:lang w:val="en-US" w:eastAsia="zh-CN"/>
              </w:rPr>
              <w:t>。</w:t>
            </w:r>
          </w:p>
          <w:p w14:paraId="7E78339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outlineLvl w:val="9"/>
              <w:rPr>
                <w:rFonts w:hint="eastAsia"/>
                <w:lang w:val="en-US" w:eastAsia="zh-CN"/>
              </w:rPr>
            </w:pPr>
            <w:r>
              <w:rPr>
                <w:rFonts w:hint="eastAsia" w:ascii="仿宋_GB2312" w:eastAsia="仿宋_GB2312"/>
                <w:szCs w:val="21"/>
                <w:lang w:val="en-US" w:eastAsia="zh-CN"/>
              </w:rPr>
              <w:t>4.包含</w:t>
            </w:r>
            <w:r>
              <w:rPr>
                <w:rFonts w:hint="default" w:ascii="仿宋_GB2312" w:eastAsia="仿宋_GB2312"/>
                <w:szCs w:val="21"/>
                <w:lang w:val="en-US" w:eastAsia="zh-CN"/>
              </w:rPr>
              <w:t>保险费、</w:t>
            </w:r>
            <w:r>
              <w:rPr>
                <w:rFonts w:hint="eastAsia" w:ascii="仿宋_GB2312" w:eastAsia="仿宋_GB2312"/>
                <w:szCs w:val="21"/>
                <w:lang w:val="en-US" w:eastAsia="zh-CN"/>
              </w:rPr>
              <w:t>人工服务费、高空作业费、清洁耗材费、工具使用费、安全防护用品费、现场垃圾清理费、税费。</w:t>
            </w:r>
          </w:p>
        </w:tc>
        <w:tc>
          <w:tcPr>
            <w:tcW w:w="876" w:type="pct"/>
            <w:shd w:val="clear" w:color="auto" w:fill="auto"/>
            <w:vAlign w:val="center"/>
          </w:tcPr>
          <w:p w14:paraId="6B598AF3">
            <w:pPr>
              <w:keepNext w:val="0"/>
              <w:keepLines w:val="0"/>
              <w:pageBreakBefore w:val="0"/>
              <w:widowControl w:val="0"/>
              <w:tabs>
                <w:tab w:val="left" w:pos="2160"/>
              </w:tabs>
              <w:kinsoku/>
              <w:wordWrap/>
              <w:overflowPunct/>
              <w:topLinePunct w:val="0"/>
              <w:autoSpaceDE/>
              <w:autoSpaceDN/>
              <w:bidi w:val="0"/>
              <w:adjustRightInd/>
              <w:snapToGrid w:val="0"/>
              <w:spacing w:line="320" w:lineRule="exact"/>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玻璃幕墙</w:t>
            </w:r>
            <w:r>
              <w:rPr>
                <w:rFonts w:hint="eastAsia" w:hAnsi="宋体" w:cs="宋体"/>
                <w:kern w:val="2"/>
                <w:sz w:val="21"/>
                <w:szCs w:val="21"/>
                <w:highlight w:val="none"/>
                <w:lang w:val="en-US" w:eastAsia="zh-CN" w:bidi="ar-SA"/>
              </w:rPr>
              <w:t>:</w:t>
            </w:r>
            <w:r>
              <w:rPr>
                <w:rFonts w:hint="eastAsia" w:ascii="宋体" w:hAnsi="宋体" w:eastAsia="宋体" w:cs="宋体"/>
                <w:kern w:val="2"/>
                <w:sz w:val="21"/>
                <w:szCs w:val="21"/>
                <w:highlight w:val="none"/>
                <w:lang w:val="en-US" w:eastAsia="zh-CN" w:bidi="ar-SA"/>
              </w:rPr>
              <w:t>18000㎡</w:t>
            </w:r>
          </w:p>
          <w:p w14:paraId="7373C5EE">
            <w:pPr>
              <w:keepNext w:val="0"/>
              <w:keepLines w:val="0"/>
              <w:pageBreakBefore w:val="0"/>
              <w:widowControl w:val="0"/>
              <w:tabs>
                <w:tab w:val="left" w:pos="2160"/>
              </w:tabs>
              <w:kinsoku/>
              <w:wordWrap/>
              <w:overflowPunct/>
              <w:topLinePunct w:val="0"/>
              <w:autoSpaceDE/>
              <w:autoSpaceDN/>
              <w:bidi w:val="0"/>
              <w:adjustRightInd/>
              <w:snapToGrid w:val="0"/>
              <w:spacing w:line="320" w:lineRule="exact"/>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铝板：9000㎡</w:t>
            </w:r>
          </w:p>
        </w:tc>
        <w:tc>
          <w:tcPr>
            <w:tcW w:w="408" w:type="pct"/>
            <w:shd w:val="clear" w:color="auto" w:fill="auto"/>
            <w:vAlign w:val="center"/>
          </w:tcPr>
          <w:p w14:paraId="7FD8000B">
            <w:pPr>
              <w:keepNext w:val="0"/>
              <w:keepLines w:val="0"/>
              <w:pageBreakBefore w:val="0"/>
              <w:widowControl w:val="0"/>
              <w:tabs>
                <w:tab w:val="left" w:pos="2160"/>
              </w:tabs>
              <w:kinsoku/>
              <w:wordWrap/>
              <w:overflowPunct/>
              <w:topLinePunct w:val="0"/>
              <w:autoSpaceDE/>
              <w:autoSpaceDN/>
              <w:bidi w:val="0"/>
              <w:adjustRightInd/>
              <w:snapToGrid w:val="0"/>
              <w:spacing w:line="320" w:lineRule="exact"/>
              <w:jc w:val="center"/>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27000</w:t>
            </w:r>
          </w:p>
        </w:tc>
        <w:tc>
          <w:tcPr>
            <w:tcW w:w="536" w:type="pct"/>
            <w:shd w:val="clear" w:color="auto" w:fill="auto"/>
            <w:vAlign w:val="center"/>
          </w:tcPr>
          <w:p w14:paraId="72A7AD90">
            <w:pPr>
              <w:keepNext w:val="0"/>
              <w:keepLines w:val="0"/>
              <w:pageBreakBefore w:val="0"/>
              <w:widowControl w:val="0"/>
              <w:tabs>
                <w:tab w:val="left" w:pos="2160"/>
              </w:tabs>
              <w:kinsoku/>
              <w:wordWrap/>
              <w:overflowPunct/>
              <w:topLinePunct w:val="0"/>
              <w:autoSpaceDE/>
              <w:autoSpaceDN/>
              <w:bidi w:val="0"/>
              <w:adjustRightInd/>
              <w:snapToGrid w:val="0"/>
              <w:spacing w:line="320" w:lineRule="exact"/>
              <w:jc w:val="center"/>
              <w:textAlignment w:val="auto"/>
              <w:rPr>
                <w:rFonts w:hint="eastAsia" w:ascii="宋体" w:hAnsi="宋体" w:eastAsia="宋体" w:cs="宋体"/>
                <w:sz w:val="21"/>
                <w:szCs w:val="21"/>
                <w:highlight w:val="none"/>
                <w:lang w:val="en-US" w:eastAsia="zh-CN"/>
              </w:rPr>
            </w:pPr>
          </w:p>
        </w:tc>
        <w:tc>
          <w:tcPr>
            <w:tcW w:w="501" w:type="pct"/>
            <w:vAlign w:val="center"/>
          </w:tcPr>
          <w:p w14:paraId="035220AC">
            <w:pPr>
              <w:keepNext w:val="0"/>
              <w:keepLines w:val="0"/>
              <w:pageBreakBefore w:val="0"/>
              <w:widowControl w:val="0"/>
              <w:tabs>
                <w:tab w:val="left" w:pos="2160"/>
              </w:tabs>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highlight w:val="none"/>
                <w:lang w:val="en-US" w:eastAsia="zh-CN"/>
              </w:rPr>
            </w:pPr>
          </w:p>
        </w:tc>
      </w:tr>
      <w:tr w14:paraId="23541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2" w:hRule="atLeast"/>
          <w:jc w:val="center"/>
        </w:trPr>
        <w:tc>
          <w:tcPr>
            <w:tcW w:w="402" w:type="pct"/>
            <w:shd w:val="clear" w:color="auto" w:fill="auto"/>
            <w:vAlign w:val="center"/>
          </w:tcPr>
          <w:p w14:paraId="0F316635">
            <w:pPr>
              <w:spacing w:line="360" w:lineRule="auto"/>
              <w:jc w:val="left"/>
              <w:outlineLvl w:val="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p>
        </w:tc>
        <w:tc>
          <w:tcPr>
            <w:tcW w:w="648" w:type="pct"/>
            <w:shd w:val="clear" w:color="auto" w:fill="auto"/>
            <w:vAlign w:val="center"/>
          </w:tcPr>
          <w:p w14:paraId="5C28CB19">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default" w:ascii="宋体" w:hAnsi="宋体" w:eastAsia="宋体" w:cs="宋体"/>
                <w:sz w:val="21"/>
                <w:szCs w:val="21"/>
                <w:highlight w:val="none"/>
                <w:lang w:val="en-US" w:eastAsia="zh-CN"/>
              </w:rPr>
            </w:pPr>
            <w:r>
              <w:rPr>
                <w:rFonts w:hint="eastAsia" w:ascii="仿宋_GB2312" w:eastAsia="仿宋_GB2312"/>
                <w:szCs w:val="21"/>
                <w:lang w:val="en-US" w:eastAsia="zh-CN"/>
              </w:rPr>
              <w:t>商务中心玻璃幕墙清洗</w:t>
            </w:r>
          </w:p>
        </w:tc>
        <w:tc>
          <w:tcPr>
            <w:tcW w:w="702" w:type="pct"/>
            <w:vMerge w:val="continue"/>
            <w:shd w:val="clear" w:color="auto" w:fill="auto"/>
            <w:vAlign w:val="center"/>
          </w:tcPr>
          <w:p w14:paraId="33B04B7B">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sz w:val="21"/>
                <w:szCs w:val="21"/>
                <w:highlight w:val="none"/>
                <w:lang w:val="en-US" w:eastAsia="zh-CN"/>
              </w:rPr>
            </w:pPr>
          </w:p>
        </w:tc>
        <w:tc>
          <w:tcPr>
            <w:tcW w:w="923" w:type="pct"/>
            <w:vMerge w:val="continue"/>
            <w:shd w:val="clear" w:color="auto" w:fill="auto"/>
            <w:vAlign w:val="center"/>
          </w:tcPr>
          <w:p w14:paraId="43C0D576">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sz w:val="21"/>
                <w:szCs w:val="21"/>
                <w:highlight w:val="none"/>
                <w:lang w:val="en-US" w:eastAsia="zh-CN"/>
              </w:rPr>
            </w:pPr>
          </w:p>
        </w:tc>
        <w:tc>
          <w:tcPr>
            <w:tcW w:w="876" w:type="pct"/>
            <w:shd w:val="clear" w:color="auto" w:fill="auto"/>
            <w:vAlign w:val="center"/>
          </w:tcPr>
          <w:p w14:paraId="7DA255C5">
            <w:pPr>
              <w:spacing w:line="360" w:lineRule="auto"/>
              <w:jc w:val="left"/>
              <w:outlineLvl w:val="0"/>
              <w:rPr>
                <w:rFonts w:hint="default" w:ascii="宋体" w:hAnsi="宋体" w:eastAsia="宋体" w:cs="宋体"/>
                <w:sz w:val="21"/>
                <w:szCs w:val="21"/>
                <w:highlight w:val="none"/>
                <w:lang w:val="en-US" w:eastAsia="zh-CN"/>
              </w:rPr>
            </w:pPr>
            <w:r>
              <w:rPr>
                <w:rFonts w:hint="eastAsia" w:hAnsi="宋体" w:cs="宋体"/>
                <w:sz w:val="21"/>
                <w:szCs w:val="21"/>
                <w:highlight w:val="none"/>
                <w:lang w:val="en-US" w:eastAsia="zh-CN"/>
              </w:rPr>
              <w:t>/</w:t>
            </w:r>
          </w:p>
        </w:tc>
        <w:tc>
          <w:tcPr>
            <w:tcW w:w="847" w:type="dxa"/>
            <w:shd w:val="clear" w:color="auto" w:fill="auto"/>
            <w:vAlign w:val="center"/>
          </w:tcPr>
          <w:p w14:paraId="316F9672">
            <w:pPr>
              <w:keepNext w:val="0"/>
              <w:keepLines w:val="0"/>
              <w:pageBreakBefore w:val="0"/>
              <w:widowControl w:val="0"/>
              <w:tabs>
                <w:tab w:val="left" w:pos="2160"/>
              </w:tabs>
              <w:kinsoku/>
              <w:wordWrap/>
              <w:overflowPunct/>
              <w:topLinePunct w:val="0"/>
              <w:autoSpaceDE/>
              <w:autoSpaceDN/>
              <w:bidi w:val="0"/>
              <w:adjustRightInd/>
              <w:snapToGrid w:val="0"/>
              <w:spacing w:line="3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18560</w:t>
            </w:r>
          </w:p>
        </w:tc>
        <w:tc>
          <w:tcPr>
            <w:tcW w:w="536" w:type="pct"/>
            <w:shd w:val="clear" w:color="auto" w:fill="auto"/>
            <w:vAlign w:val="center"/>
          </w:tcPr>
          <w:p w14:paraId="439D568E">
            <w:pPr>
              <w:spacing w:line="360" w:lineRule="auto"/>
              <w:jc w:val="left"/>
              <w:outlineLvl w:val="0"/>
              <w:rPr>
                <w:rFonts w:hint="eastAsia" w:ascii="宋体" w:hAnsi="宋体" w:eastAsia="宋体" w:cs="宋体"/>
                <w:sz w:val="21"/>
                <w:szCs w:val="21"/>
                <w:highlight w:val="none"/>
                <w:lang w:val="en-US" w:eastAsia="zh-CN"/>
              </w:rPr>
            </w:pPr>
          </w:p>
        </w:tc>
        <w:tc>
          <w:tcPr>
            <w:tcW w:w="501" w:type="pct"/>
            <w:vAlign w:val="center"/>
          </w:tcPr>
          <w:p w14:paraId="1EFB5A67">
            <w:pPr>
              <w:spacing w:line="360" w:lineRule="auto"/>
              <w:jc w:val="left"/>
              <w:outlineLvl w:val="0"/>
              <w:rPr>
                <w:rFonts w:hint="eastAsia" w:ascii="宋体" w:hAnsi="宋体" w:eastAsia="宋体" w:cs="宋体"/>
                <w:sz w:val="21"/>
                <w:szCs w:val="21"/>
                <w:highlight w:val="none"/>
                <w:lang w:val="en-US" w:eastAsia="zh-CN"/>
              </w:rPr>
            </w:pPr>
          </w:p>
        </w:tc>
      </w:tr>
      <w:tr w14:paraId="30B33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2" w:hRule="atLeast"/>
          <w:jc w:val="center"/>
        </w:trPr>
        <w:tc>
          <w:tcPr>
            <w:tcW w:w="402" w:type="pct"/>
            <w:shd w:val="clear" w:color="auto" w:fill="auto"/>
            <w:vAlign w:val="center"/>
          </w:tcPr>
          <w:p w14:paraId="16114C01">
            <w:pPr>
              <w:spacing w:line="360" w:lineRule="auto"/>
              <w:jc w:val="left"/>
              <w:outlineLvl w:val="0"/>
              <w:rPr>
                <w:rFonts w:hint="default" w:ascii="宋体" w:hAnsi="宋体" w:eastAsia="宋体" w:cs="宋体"/>
                <w:sz w:val="21"/>
                <w:szCs w:val="21"/>
                <w:highlight w:val="none"/>
                <w:lang w:val="en-US" w:eastAsia="zh-CN"/>
              </w:rPr>
            </w:pPr>
            <w:r>
              <w:rPr>
                <w:rFonts w:hint="eastAsia" w:hAnsi="宋体" w:cs="宋体"/>
                <w:sz w:val="21"/>
                <w:szCs w:val="21"/>
                <w:highlight w:val="none"/>
                <w:lang w:val="en-US" w:eastAsia="zh-CN"/>
              </w:rPr>
              <w:t>3</w:t>
            </w:r>
          </w:p>
        </w:tc>
        <w:tc>
          <w:tcPr>
            <w:tcW w:w="648" w:type="pct"/>
            <w:shd w:val="clear" w:color="auto" w:fill="auto"/>
            <w:vAlign w:val="center"/>
          </w:tcPr>
          <w:p w14:paraId="00DBCF83">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仿宋_GB2312" w:eastAsia="仿宋_GB2312"/>
                <w:szCs w:val="21"/>
                <w:lang w:val="en-US" w:eastAsia="zh-CN"/>
              </w:rPr>
            </w:pPr>
            <w:r>
              <w:rPr>
                <w:rFonts w:hint="eastAsia" w:ascii="仿宋_GB2312" w:eastAsia="仿宋_GB2312"/>
                <w:szCs w:val="21"/>
                <w:lang w:val="en-US" w:eastAsia="zh-CN"/>
              </w:rPr>
              <w:t>行政8号楼玻璃幕墙清洗</w:t>
            </w:r>
          </w:p>
        </w:tc>
        <w:tc>
          <w:tcPr>
            <w:tcW w:w="702" w:type="pct"/>
            <w:vMerge w:val="continue"/>
            <w:shd w:val="clear" w:color="auto" w:fill="auto"/>
            <w:vAlign w:val="center"/>
          </w:tcPr>
          <w:p w14:paraId="3F20C248">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sz w:val="21"/>
                <w:szCs w:val="21"/>
                <w:highlight w:val="none"/>
                <w:lang w:val="en-US" w:eastAsia="zh-CN"/>
              </w:rPr>
            </w:pPr>
          </w:p>
        </w:tc>
        <w:tc>
          <w:tcPr>
            <w:tcW w:w="923" w:type="pct"/>
            <w:vMerge w:val="continue"/>
            <w:shd w:val="clear" w:color="auto" w:fill="auto"/>
            <w:vAlign w:val="center"/>
          </w:tcPr>
          <w:p w14:paraId="42ED74E6">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sz w:val="21"/>
                <w:szCs w:val="21"/>
                <w:highlight w:val="none"/>
                <w:lang w:val="en-US" w:eastAsia="zh-CN"/>
              </w:rPr>
            </w:pPr>
          </w:p>
        </w:tc>
        <w:tc>
          <w:tcPr>
            <w:tcW w:w="876" w:type="pct"/>
            <w:shd w:val="clear" w:color="auto" w:fill="auto"/>
            <w:vAlign w:val="center"/>
          </w:tcPr>
          <w:p w14:paraId="4B8E80F1">
            <w:pPr>
              <w:spacing w:line="360" w:lineRule="auto"/>
              <w:jc w:val="left"/>
              <w:outlineLvl w:val="0"/>
              <w:rPr>
                <w:rFonts w:hint="default" w:ascii="宋体" w:hAnsi="宋体" w:eastAsia="宋体" w:cs="宋体"/>
                <w:sz w:val="21"/>
                <w:szCs w:val="21"/>
                <w:highlight w:val="none"/>
                <w:lang w:val="en-US" w:eastAsia="zh-CN"/>
              </w:rPr>
            </w:pPr>
            <w:r>
              <w:rPr>
                <w:rFonts w:hint="eastAsia" w:hAnsi="宋体" w:cs="宋体"/>
                <w:sz w:val="21"/>
                <w:szCs w:val="21"/>
                <w:highlight w:val="none"/>
                <w:lang w:val="en-US" w:eastAsia="zh-CN"/>
              </w:rPr>
              <w:t>/</w:t>
            </w:r>
          </w:p>
        </w:tc>
        <w:tc>
          <w:tcPr>
            <w:tcW w:w="847" w:type="dxa"/>
            <w:shd w:val="clear" w:color="auto" w:fill="auto"/>
            <w:vAlign w:val="center"/>
          </w:tcPr>
          <w:p w14:paraId="35CF0C7F">
            <w:pPr>
              <w:keepNext w:val="0"/>
              <w:keepLines w:val="0"/>
              <w:pageBreakBefore w:val="0"/>
              <w:widowControl w:val="0"/>
              <w:tabs>
                <w:tab w:val="left" w:pos="2160"/>
              </w:tabs>
              <w:kinsoku/>
              <w:wordWrap/>
              <w:overflowPunct/>
              <w:topLinePunct w:val="0"/>
              <w:autoSpaceDE/>
              <w:autoSpaceDN/>
              <w:bidi w:val="0"/>
              <w:adjustRightInd/>
              <w:snapToGrid w:val="0"/>
              <w:spacing w:line="32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2660</w:t>
            </w:r>
          </w:p>
        </w:tc>
        <w:tc>
          <w:tcPr>
            <w:tcW w:w="536" w:type="pct"/>
            <w:shd w:val="clear" w:color="auto" w:fill="auto"/>
            <w:vAlign w:val="center"/>
          </w:tcPr>
          <w:p w14:paraId="16E74629">
            <w:pPr>
              <w:spacing w:line="360" w:lineRule="auto"/>
              <w:jc w:val="left"/>
              <w:outlineLvl w:val="0"/>
              <w:rPr>
                <w:rFonts w:hint="eastAsia" w:ascii="宋体" w:hAnsi="宋体" w:eastAsia="宋体" w:cs="宋体"/>
                <w:sz w:val="21"/>
                <w:szCs w:val="21"/>
                <w:highlight w:val="none"/>
                <w:lang w:val="en-US" w:eastAsia="zh-CN"/>
              </w:rPr>
            </w:pPr>
          </w:p>
        </w:tc>
        <w:tc>
          <w:tcPr>
            <w:tcW w:w="501" w:type="pct"/>
            <w:vAlign w:val="center"/>
          </w:tcPr>
          <w:p w14:paraId="7C630B5E">
            <w:pPr>
              <w:spacing w:line="360" w:lineRule="auto"/>
              <w:jc w:val="left"/>
              <w:outlineLvl w:val="0"/>
              <w:rPr>
                <w:rFonts w:hint="eastAsia" w:ascii="宋体" w:hAnsi="宋体" w:eastAsia="宋体" w:cs="宋体"/>
                <w:sz w:val="21"/>
                <w:szCs w:val="21"/>
                <w:highlight w:val="none"/>
                <w:lang w:val="en-US" w:eastAsia="zh-CN"/>
              </w:rPr>
            </w:pPr>
          </w:p>
        </w:tc>
      </w:tr>
      <w:tr w14:paraId="16A5D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2" w:hRule="atLeast"/>
          <w:jc w:val="center"/>
        </w:trPr>
        <w:tc>
          <w:tcPr>
            <w:tcW w:w="402" w:type="pct"/>
            <w:shd w:val="clear" w:color="auto" w:fill="auto"/>
            <w:vAlign w:val="center"/>
          </w:tcPr>
          <w:p w14:paraId="490CC159">
            <w:pPr>
              <w:spacing w:line="360" w:lineRule="auto"/>
              <w:jc w:val="left"/>
              <w:outlineLvl w:val="0"/>
              <w:rPr>
                <w:rFonts w:hint="default" w:ascii="宋体" w:hAnsi="宋体" w:eastAsia="宋体" w:cs="宋体"/>
                <w:sz w:val="21"/>
                <w:szCs w:val="21"/>
                <w:highlight w:val="none"/>
                <w:lang w:val="en-US" w:eastAsia="zh-CN"/>
              </w:rPr>
            </w:pPr>
            <w:r>
              <w:rPr>
                <w:rFonts w:hint="eastAsia" w:hAnsi="宋体" w:cs="宋体"/>
                <w:sz w:val="21"/>
                <w:szCs w:val="21"/>
                <w:highlight w:val="none"/>
                <w:lang w:val="en-US" w:eastAsia="zh-CN"/>
              </w:rPr>
              <w:t>4</w:t>
            </w:r>
          </w:p>
        </w:tc>
        <w:tc>
          <w:tcPr>
            <w:tcW w:w="648" w:type="pct"/>
            <w:shd w:val="clear" w:color="auto" w:fill="auto"/>
            <w:vAlign w:val="center"/>
          </w:tcPr>
          <w:p w14:paraId="389C2F85">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default" w:ascii="宋体" w:hAnsi="宋体" w:eastAsia="宋体" w:cs="宋体"/>
                <w:sz w:val="21"/>
                <w:szCs w:val="21"/>
                <w:highlight w:val="none"/>
                <w:lang w:val="en-US" w:eastAsia="zh-CN"/>
              </w:rPr>
            </w:pPr>
            <w:r>
              <w:rPr>
                <w:rFonts w:hint="eastAsia" w:ascii="仿宋_GB2312" w:eastAsia="仿宋_GB2312"/>
                <w:szCs w:val="21"/>
                <w:lang w:val="en-US" w:eastAsia="zh-CN"/>
              </w:rPr>
              <w:t>双创大厦玻璃幕墙清洗</w:t>
            </w:r>
          </w:p>
        </w:tc>
        <w:tc>
          <w:tcPr>
            <w:tcW w:w="702" w:type="pct"/>
            <w:vMerge w:val="continue"/>
            <w:shd w:val="clear" w:color="auto" w:fill="auto"/>
            <w:vAlign w:val="center"/>
          </w:tcPr>
          <w:p w14:paraId="7CF06674">
            <w:pPr>
              <w:spacing w:line="360" w:lineRule="auto"/>
              <w:jc w:val="left"/>
              <w:outlineLvl w:val="0"/>
              <w:rPr>
                <w:rFonts w:hint="eastAsia" w:ascii="宋体" w:hAnsi="宋体" w:eastAsia="宋体" w:cs="宋体"/>
                <w:sz w:val="21"/>
                <w:szCs w:val="21"/>
                <w:highlight w:val="none"/>
                <w:lang w:val="en-US" w:eastAsia="zh-CN"/>
              </w:rPr>
            </w:pPr>
          </w:p>
        </w:tc>
        <w:tc>
          <w:tcPr>
            <w:tcW w:w="923" w:type="pct"/>
            <w:vMerge w:val="continue"/>
            <w:shd w:val="clear" w:color="auto" w:fill="auto"/>
            <w:vAlign w:val="center"/>
          </w:tcPr>
          <w:p w14:paraId="74A447D1">
            <w:pPr>
              <w:spacing w:line="360" w:lineRule="auto"/>
              <w:jc w:val="left"/>
              <w:outlineLvl w:val="0"/>
              <w:rPr>
                <w:rFonts w:hint="eastAsia" w:ascii="宋体" w:hAnsi="宋体" w:eastAsia="宋体" w:cs="宋体"/>
                <w:sz w:val="21"/>
                <w:szCs w:val="21"/>
                <w:highlight w:val="none"/>
                <w:lang w:val="en-US" w:eastAsia="zh-CN"/>
              </w:rPr>
            </w:pPr>
          </w:p>
        </w:tc>
        <w:tc>
          <w:tcPr>
            <w:tcW w:w="1819" w:type="dxa"/>
            <w:shd w:val="clear" w:color="auto" w:fill="auto"/>
            <w:vAlign w:val="center"/>
          </w:tcPr>
          <w:p w14:paraId="102385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sz w:val="21"/>
                <w:szCs w:val="21"/>
                <w:highlight w:val="none"/>
                <w:lang w:val="en-US" w:eastAsia="zh-CN"/>
              </w:rPr>
            </w:pPr>
            <w:r>
              <w:rPr>
                <w:rFonts w:hint="eastAsia" w:ascii="仿宋_GB2312" w:eastAsia="仿宋_GB2312"/>
                <w:szCs w:val="21"/>
                <w:lang w:val="en-US" w:eastAsia="zh-CN"/>
              </w:rPr>
              <w:t>三钢化中空玻璃明框幕墙：15500㎡；双钢化夹胶玻璃明框幕墙1200㎡；铝板幕墙9600㎡；全玻雨棚500㎡（21层）</w:t>
            </w:r>
          </w:p>
        </w:tc>
        <w:tc>
          <w:tcPr>
            <w:tcW w:w="847" w:type="dxa"/>
            <w:shd w:val="clear" w:color="auto" w:fill="auto"/>
            <w:vAlign w:val="center"/>
          </w:tcPr>
          <w:p w14:paraId="306A65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sz w:val="21"/>
                <w:szCs w:val="21"/>
                <w:highlight w:val="none"/>
                <w:lang w:val="en-US" w:eastAsia="zh-CN"/>
              </w:rPr>
            </w:pPr>
            <w:r>
              <w:rPr>
                <w:rFonts w:hint="eastAsia" w:ascii="仿宋_GB2312" w:eastAsia="仿宋_GB2312"/>
                <w:szCs w:val="21"/>
                <w:lang w:val="en-US" w:eastAsia="zh-CN"/>
              </w:rPr>
              <w:t>31800</w:t>
            </w:r>
          </w:p>
        </w:tc>
        <w:tc>
          <w:tcPr>
            <w:tcW w:w="536" w:type="pct"/>
            <w:shd w:val="clear" w:color="auto" w:fill="auto"/>
            <w:vAlign w:val="center"/>
          </w:tcPr>
          <w:p w14:paraId="4A951B7F">
            <w:pPr>
              <w:spacing w:line="360" w:lineRule="auto"/>
              <w:jc w:val="left"/>
              <w:outlineLvl w:val="0"/>
              <w:rPr>
                <w:rFonts w:hint="eastAsia" w:ascii="宋体" w:hAnsi="宋体" w:eastAsia="宋体" w:cs="宋体"/>
                <w:sz w:val="21"/>
                <w:szCs w:val="21"/>
                <w:highlight w:val="none"/>
                <w:lang w:val="en-US" w:eastAsia="zh-CN"/>
              </w:rPr>
            </w:pPr>
          </w:p>
        </w:tc>
        <w:tc>
          <w:tcPr>
            <w:tcW w:w="501" w:type="pct"/>
            <w:vAlign w:val="center"/>
          </w:tcPr>
          <w:p w14:paraId="5F04E76C">
            <w:pPr>
              <w:spacing w:line="360" w:lineRule="auto"/>
              <w:jc w:val="left"/>
              <w:outlineLvl w:val="0"/>
              <w:rPr>
                <w:rFonts w:hint="eastAsia" w:ascii="宋体" w:hAnsi="宋体" w:eastAsia="宋体" w:cs="宋体"/>
                <w:sz w:val="21"/>
                <w:szCs w:val="21"/>
                <w:highlight w:val="none"/>
                <w:lang w:val="en-US" w:eastAsia="zh-CN"/>
              </w:rPr>
            </w:pPr>
          </w:p>
        </w:tc>
      </w:tr>
      <w:tr w14:paraId="1773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402" w:type="pct"/>
            <w:shd w:val="clear" w:color="auto" w:fill="auto"/>
            <w:vAlign w:val="center"/>
          </w:tcPr>
          <w:p w14:paraId="5894033F">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宋体" w:hAnsi="宋体" w:eastAsia="宋体" w:cs="宋体"/>
                <w:sz w:val="21"/>
                <w:szCs w:val="21"/>
                <w:highlight w:val="none"/>
                <w:lang w:val="en-US" w:eastAsia="zh-CN"/>
              </w:rPr>
            </w:pPr>
            <w:r>
              <w:rPr>
                <w:rFonts w:hint="eastAsia" w:hAnsi="宋体" w:cs="宋体"/>
                <w:sz w:val="21"/>
                <w:szCs w:val="21"/>
                <w:highlight w:val="none"/>
                <w:lang w:val="en-US" w:eastAsia="zh-CN"/>
              </w:rPr>
              <w:t>5</w:t>
            </w:r>
          </w:p>
        </w:tc>
        <w:tc>
          <w:tcPr>
            <w:tcW w:w="4597" w:type="pct"/>
            <w:gridSpan w:val="7"/>
            <w:shd w:val="clear" w:color="auto" w:fill="auto"/>
            <w:vAlign w:val="center"/>
          </w:tcPr>
          <w:p w14:paraId="34977701">
            <w:pPr>
              <w:keepNext w:val="0"/>
              <w:keepLines w:val="0"/>
              <w:pageBreakBefore w:val="0"/>
              <w:widowControl w:val="0"/>
              <w:tabs>
                <w:tab w:val="left" w:pos="2160"/>
              </w:tabs>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highlight w:val="none"/>
                <w:lang w:val="en-US" w:eastAsia="zh-CN"/>
              </w:rPr>
            </w:pPr>
            <w:r>
              <w:rPr>
                <w:rFonts w:hint="eastAsia" w:ascii="仿宋_GB2312" w:eastAsia="仿宋_GB2312"/>
                <w:szCs w:val="21"/>
                <w:lang w:val="en-US" w:eastAsia="zh-CN"/>
              </w:rPr>
              <w:t>不含税金额小计：</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元</w:t>
            </w:r>
          </w:p>
        </w:tc>
      </w:tr>
      <w:tr w14:paraId="6A6C9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402" w:type="pct"/>
            <w:vMerge w:val="restart"/>
            <w:vAlign w:val="center"/>
          </w:tcPr>
          <w:p w14:paraId="117802E1">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宋体" w:hAnsi="宋体" w:eastAsia="宋体" w:cs="宋体"/>
                <w:sz w:val="21"/>
                <w:szCs w:val="21"/>
                <w:highlight w:val="none"/>
                <w:lang w:val="en-US" w:eastAsia="zh-CN"/>
              </w:rPr>
            </w:pPr>
            <w:r>
              <w:rPr>
                <w:rFonts w:hint="eastAsia" w:hAnsi="宋体" w:cs="宋体"/>
                <w:sz w:val="21"/>
                <w:szCs w:val="21"/>
                <w:highlight w:val="none"/>
                <w:lang w:val="en-US" w:eastAsia="zh-CN"/>
              </w:rPr>
              <w:t>6</w:t>
            </w:r>
          </w:p>
        </w:tc>
        <w:tc>
          <w:tcPr>
            <w:tcW w:w="648" w:type="pct"/>
            <w:vAlign w:val="center"/>
          </w:tcPr>
          <w:p w14:paraId="1E35E48E">
            <w:pPr>
              <w:keepNext w:val="0"/>
              <w:keepLines w:val="0"/>
              <w:pageBreakBefore w:val="0"/>
              <w:widowControl w:val="0"/>
              <w:tabs>
                <w:tab w:val="left" w:pos="2160"/>
              </w:tabs>
              <w:kinsoku/>
              <w:wordWrap/>
              <w:overflowPunct/>
              <w:topLinePunct w:val="0"/>
              <w:autoSpaceDE/>
              <w:autoSpaceDN/>
              <w:bidi w:val="0"/>
              <w:adjustRightInd/>
              <w:snapToGrid w:val="0"/>
              <w:spacing w:line="320" w:lineRule="exact"/>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税率及税额</w:t>
            </w:r>
          </w:p>
        </w:tc>
        <w:tc>
          <w:tcPr>
            <w:tcW w:w="702" w:type="pct"/>
            <w:vAlign w:val="center"/>
          </w:tcPr>
          <w:p w14:paraId="5A8402D1">
            <w:pPr>
              <w:keepNext w:val="0"/>
              <w:keepLines w:val="0"/>
              <w:pageBreakBefore w:val="0"/>
              <w:widowControl w:val="0"/>
              <w:tabs>
                <w:tab w:val="left" w:pos="2160"/>
              </w:tabs>
              <w:kinsoku/>
              <w:wordWrap/>
              <w:overflowPunct/>
              <w:topLinePunct w:val="0"/>
              <w:autoSpaceDE/>
              <w:autoSpaceDN/>
              <w:bidi w:val="0"/>
              <w:adjustRightInd/>
              <w:snapToGrid w:val="0"/>
              <w:spacing w:line="320" w:lineRule="exact"/>
              <w:jc w:val="center"/>
              <w:textAlignment w:val="auto"/>
              <w:rPr>
                <w:rFonts w:hint="eastAsia" w:ascii="宋体" w:hAnsi="宋体" w:eastAsia="宋体" w:cs="宋体"/>
              </w:rPr>
            </w:pPr>
            <w:r>
              <w:rPr>
                <w:rFonts w:hint="eastAsia" w:ascii="宋体" w:hAnsi="宋体" w:eastAsia="宋体" w:cs="宋体"/>
                <w:sz w:val="21"/>
                <w:szCs w:val="21"/>
                <w:highlight w:val="none"/>
              </w:rPr>
              <w:t>提供增值税专用发票</w:t>
            </w:r>
            <w:r>
              <w:rPr>
                <w:rFonts w:hint="eastAsia" w:ascii="宋体" w:hAnsi="宋体" w:eastAsia="宋体" w:cs="宋体"/>
                <w:sz w:val="21"/>
                <w:szCs w:val="21"/>
                <w:highlight w:val="none"/>
              </w:rPr>
              <w:sym w:font="Wingdings" w:char="00A8"/>
            </w:r>
          </w:p>
        </w:tc>
        <w:tc>
          <w:tcPr>
            <w:tcW w:w="923" w:type="pct"/>
            <w:vAlign w:val="center"/>
          </w:tcPr>
          <w:p w14:paraId="2136F3A3">
            <w:pPr>
              <w:keepNext w:val="0"/>
              <w:keepLines w:val="0"/>
              <w:pageBreakBefore w:val="0"/>
              <w:widowControl w:val="0"/>
              <w:kinsoku/>
              <w:wordWrap/>
              <w:overflowPunct/>
              <w:topLinePunct w:val="0"/>
              <w:autoSpaceDE/>
              <w:autoSpaceDN/>
              <w:bidi w:val="0"/>
              <w:adjustRightInd/>
              <w:snapToGrid w:val="0"/>
              <w:spacing w:line="320" w:lineRule="exact"/>
              <w:jc w:val="left"/>
              <w:textAlignment w:val="auto"/>
              <w:rPr>
                <w:rFonts w:hint="eastAsia" w:ascii="宋体" w:hAnsi="宋体" w:eastAsia="宋体" w:cs="宋体"/>
                <w:sz w:val="21"/>
                <w:szCs w:val="21"/>
                <w:highlight w:val="none"/>
                <w:lang w:eastAsia="zh-CN"/>
              </w:rPr>
            </w:pPr>
          </w:p>
        </w:tc>
        <w:tc>
          <w:tcPr>
            <w:tcW w:w="1285" w:type="pct"/>
            <w:gridSpan w:val="2"/>
            <w:vAlign w:val="center"/>
          </w:tcPr>
          <w:p w14:paraId="7B1DC571">
            <w:pPr>
              <w:keepNext w:val="0"/>
              <w:keepLines w:val="0"/>
              <w:pageBreakBefore w:val="0"/>
              <w:widowControl w:val="0"/>
              <w:kinsoku/>
              <w:wordWrap/>
              <w:overflowPunct/>
              <w:topLinePunct w:val="0"/>
              <w:autoSpaceDE/>
              <w:autoSpaceDN/>
              <w:bidi w:val="0"/>
              <w:adjustRightInd/>
              <w:snapToGrid w:val="0"/>
              <w:spacing w:line="32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税率：</w:t>
            </w:r>
          </w:p>
        </w:tc>
        <w:tc>
          <w:tcPr>
            <w:tcW w:w="1037" w:type="pct"/>
            <w:gridSpan w:val="2"/>
            <w:vAlign w:val="center"/>
          </w:tcPr>
          <w:p w14:paraId="609A2958">
            <w:pPr>
              <w:keepNext w:val="0"/>
              <w:keepLines w:val="0"/>
              <w:pageBreakBefore w:val="0"/>
              <w:widowControl w:val="0"/>
              <w:kinsoku/>
              <w:wordWrap/>
              <w:overflowPunct/>
              <w:topLinePunct w:val="0"/>
              <w:autoSpaceDE/>
              <w:autoSpaceDN/>
              <w:bidi w:val="0"/>
              <w:adjustRightInd/>
              <w:snapToGrid w:val="0"/>
              <w:spacing w:line="320" w:lineRule="exact"/>
              <w:jc w:val="lef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税额：</w:t>
            </w:r>
          </w:p>
        </w:tc>
      </w:tr>
      <w:tr w14:paraId="66177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402" w:type="pct"/>
            <w:vMerge w:val="continue"/>
            <w:vAlign w:val="center"/>
          </w:tcPr>
          <w:p w14:paraId="052CB739">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宋体" w:hAnsi="宋体" w:eastAsia="宋体" w:cs="宋体"/>
                <w:sz w:val="21"/>
                <w:szCs w:val="21"/>
                <w:highlight w:val="none"/>
              </w:rPr>
            </w:pPr>
          </w:p>
        </w:tc>
        <w:tc>
          <w:tcPr>
            <w:tcW w:w="648" w:type="pct"/>
            <w:vAlign w:val="center"/>
          </w:tcPr>
          <w:p w14:paraId="339E6C42">
            <w:pPr>
              <w:keepNext w:val="0"/>
              <w:keepLines w:val="0"/>
              <w:pageBreakBefore w:val="0"/>
              <w:widowControl w:val="0"/>
              <w:tabs>
                <w:tab w:val="left" w:pos="2160"/>
              </w:tabs>
              <w:kinsoku/>
              <w:wordWrap/>
              <w:overflowPunct/>
              <w:topLinePunct w:val="0"/>
              <w:autoSpaceDE/>
              <w:autoSpaceDN/>
              <w:bidi w:val="0"/>
              <w:adjustRightInd/>
              <w:snapToGrid w:val="0"/>
              <w:spacing w:line="320" w:lineRule="exact"/>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价税合计</w:t>
            </w:r>
          </w:p>
        </w:tc>
        <w:tc>
          <w:tcPr>
            <w:tcW w:w="702" w:type="pct"/>
            <w:vAlign w:val="center"/>
          </w:tcPr>
          <w:p w14:paraId="5680551A">
            <w:pPr>
              <w:keepNext w:val="0"/>
              <w:keepLines w:val="0"/>
              <w:pageBreakBefore w:val="0"/>
              <w:widowControl w:val="0"/>
              <w:kinsoku/>
              <w:wordWrap/>
              <w:overflowPunct/>
              <w:topLinePunct w:val="0"/>
              <w:autoSpaceDE/>
              <w:autoSpaceDN/>
              <w:bidi w:val="0"/>
              <w:adjustRightInd/>
              <w:snapToGrid w:val="0"/>
              <w:spacing w:line="320" w:lineRule="exact"/>
              <w:jc w:val="left"/>
              <w:textAlignment w:val="auto"/>
              <w:rPr>
                <w:rFonts w:hint="eastAsia" w:ascii="宋体" w:hAnsi="宋体" w:eastAsia="宋体" w:cs="宋体"/>
                <w:sz w:val="21"/>
                <w:szCs w:val="21"/>
                <w:highlight w:val="none"/>
                <w:lang w:eastAsia="zh-CN"/>
              </w:rPr>
            </w:pPr>
          </w:p>
        </w:tc>
        <w:tc>
          <w:tcPr>
            <w:tcW w:w="3245" w:type="pct"/>
            <w:gridSpan w:val="5"/>
            <w:vAlign w:val="center"/>
          </w:tcPr>
          <w:p w14:paraId="086B4FFF">
            <w:pPr>
              <w:keepNext w:val="0"/>
              <w:keepLines w:val="0"/>
              <w:pageBreakBefore w:val="0"/>
              <w:widowControl w:val="0"/>
              <w:kinsoku/>
              <w:wordWrap/>
              <w:overflowPunct/>
              <w:topLinePunct w:val="0"/>
              <w:autoSpaceDE/>
              <w:autoSpaceDN/>
              <w:bidi w:val="0"/>
              <w:adjustRightInd/>
              <w:snapToGrid w:val="0"/>
              <w:spacing w:line="320" w:lineRule="exact"/>
              <w:jc w:val="lef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小写</w:t>
            </w:r>
            <w:r>
              <w:rPr>
                <w:rFonts w:hint="eastAsia" w:ascii="宋体" w:hAnsi="宋体" w:eastAsia="宋体" w:cs="宋体"/>
                <w:sz w:val="21"/>
                <w:szCs w:val="21"/>
                <w:highlight w:val="none"/>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元（大写：</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tc>
      </w:tr>
    </w:tbl>
    <w:p w14:paraId="2C293869">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本项报价为幕墙整体包干价，包含玻璃、铝框、胶缝、排水槽、各类顽国污渍铲除，不再另行收取细部清理、除胶、除垢费用。本价格以人民币为结算货币，须包括玻璃幕墙清洗工人的保险费、人工服务费、高空作业费、清洁耗材费、工具使用费、安全防护用品费、现场垃圾清理费的费用、税费，如有漏项，视同已包含在其总项目中。</w:t>
      </w:r>
    </w:p>
    <w:p w14:paraId="05906D87">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黑体" w:cs="Times New Roman"/>
          <w:sz w:val="28"/>
          <w:szCs w:val="28"/>
          <w:lang w:val="en-US" w:eastAsia="zh-CN"/>
        </w:rPr>
      </w:pPr>
      <w:r>
        <w:rPr>
          <w:rFonts w:hint="eastAsia" w:ascii="Times New Roman" w:hAnsi="Times New Roman" w:eastAsia="黑体" w:cs="Times New Roman"/>
          <w:sz w:val="28"/>
          <w:szCs w:val="28"/>
          <w:lang w:val="en-US" w:eastAsia="zh-CN"/>
        </w:rPr>
        <w:t>三、</w:t>
      </w:r>
      <w:r>
        <w:rPr>
          <w:rFonts w:hint="eastAsia" w:ascii="Times New Roman" w:eastAsia="黑体" w:cs="Times New Roman"/>
          <w:sz w:val="28"/>
          <w:szCs w:val="28"/>
          <w:lang w:val="en-US" w:eastAsia="zh-CN"/>
        </w:rPr>
        <w:t>施工日期</w:t>
      </w:r>
      <w:r>
        <w:rPr>
          <w:rFonts w:hint="eastAsia" w:ascii="Times New Roman" w:hAnsi="Times New Roman" w:eastAsia="黑体" w:cs="Times New Roman"/>
          <w:sz w:val="28"/>
          <w:szCs w:val="28"/>
          <w:lang w:val="en-US" w:eastAsia="zh-CN"/>
        </w:rPr>
        <w:t>：</w:t>
      </w:r>
    </w:p>
    <w:p w14:paraId="1F40A2BF">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4"/>
          <w:szCs w:val="24"/>
          <w:highlight w:val="none"/>
        </w:rPr>
      </w:pPr>
      <w:r>
        <w:rPr>
          <w:rFonts w:hint="eastAsia" w:ascii="Times New Roman" w:eastAsia="仿宋_GB2312" w:cs="Times New Roman"/>
          <w:sz w:val="28"/>
          <w:szCs w:val="28"/>
          <w:highlight w:val="none"/>
          <w:lang w:val="en-US" w:eastAsia="zh-CN"/>
        </w:rPr>
        <w:t>本次施工日期为</w:t>
      </w:r>
      <w:r>
        <w:rPr>
          <w:rFonts w:hint="eastAsia" w:ascii="Times New Roman" w:eastAsia="仿宋_GB2312" w:cs="Times New Roman"/>
          <w:sz w:val="28"/>
          <w:szCs w:val="28"/>
          <w:highlight w:val="none"/>
          <w:u w:val="single"/>
          <w:lang w:val="en-US" w:eastAsia="zh-CN"/>
        </w:rPr>
        <w:t xml:space="preserve"> 40</w:t>
      </w:r>
      <w:bookmarkStart w:id="0" w:name="_GoBack"/>
      <w:bookmarkEnd w:id="0"/>
      <w:r>
        <w:rPr>
          <w:rFonts w:hint="eastAsia" w:ascii="Times New Roman" w:eastAsia="仿宋_GB2312" w:cs="Times New Roman"/>
          <w:sz w:val="28"/>
          <w:szCs w:val="28"/>
          <w:highlight w:val="none"/>
          <w:u w:val="single"/>
          <w:lang w:val="en-US" w:eastAsia="zh-CN"/>
        </w:rPr>
        <w:t xml:space="preserve"> </w:t>
      </w:r>
      <w:r>
        <w:rPr>
          <w:rFonts w:hint="eastAsia" w:ascii="Times New Roman" w:eastAsia="仿宋_GB2312" w:cs="Times New Roman"/>
          <w:sz w:val="28"/>
          <w:szCs w:val="28"/>
          <w:highlight w:val="none"/>
          <w:u w:val="none"/>
          <w:lang w:val="en-US" w:eastAsia="zh-CN"/>
        </w:rPr>
        <w:t>日，自</w:t>
      </w:r>
      <w:r>
        <w:rPr>
          <w:rFonts w:hint="eastAsia" w:ascii="Times New Roman" w:eastAsia="仿宋_GB2312" w:cs="Times New Roman"/>
          <w:sz w:val="28"/>
          <w:szCs w:val="28"/>
          <w:highlight w:val="none"/>
          <w:u w:val="single"/>
          <w:lang w:val="en-US" w:eastAsia="zh-CN"/>
        </w:rPr>
        <w:t xml:space="preserve">    </w:t>
      </w:r>
      <w:r>
        <w:rPr>
          <w:rFonts w:hint="eastAsia" w:ascii="Times New Roman" w:eastAsia="仿宋_GB2312" w:cs="Times New Roman"/>
          <w:sz w:val="28"/>
          <w:szCs w:val="28"/>
          <w:highlight w:val="none"/>
          <w:u w:val="none"/>
          <w:lang w:val="en-US" w:eastAsia="zh-CN"/>
        </w:rPr>
        <w:t>年</w:t>
      </w:r>
      <w:r>
        <w:rPr>
          <w:rFonts w:hint="eastAsia" w:ascii="Times New Roman" w:eastAsia="仿宋_GB2312" w:cs="Times New Roman"/>
          <w:sz w:val="28"/>
          <w:szCs w:val="28"/>
          <w:highlight w:val="none"/>
          <w:u w:val="single"/>
          <w:lang w:val="en-US" w:eastAsia="zh-CN"/>
        </w:rPr>
        <w:t xml:space="preserve">  </w:t>
      </w:r>
      <w:r>
        <w:rPr>
          <w:rFonts w:hint="eastAsia" w:ascii="Times New Roman" w:eastAsia="仿宋_GB2312" w:cs="Times New Roman"/>
          <w:sz w:val="28"/>
          <w:szCs w:val="28"/>
          <w:highlight w:val="none"/>
          <w:u w:val="none"/>
          <w:lang w:val="en-US" w:eastAsia="zh-CN"/>
        </w:rPr>
        <w:t>月</w:t>
      </w:r>
      <w:r>
        <w:rPr>
          <w:rFonts w:hint="eastAsia" w:ascii="Times New Roman" w:eastAsia="仿宋_GB2312" w:cs="Times New Roman"/>
          <w:sz w:val="28"/>
          <w:szCs w:val="28"/>
          <w:highlight w:val="none"/>
          <w:u w:val="single"/>
          <w:lang w:val="en-US" w:eastAsia="zh-CN"/>
        </w:rPr>
        <w:t xml:space="preserve">  </w:t>
      </w:r>
      <w:r>
        <w:rPr>
          <w:rFonts w:hint="eastAsia" w:ascii="Times New Roman" w:eastAsia="仿宋_GB2312" w:cs="Times New Roman"/>
          <w:sz w:val="28"/>
          <w:szCs w:val="28"/>
          <w:highlight w:val="none"/>
          <w:u w:val="none"/>
          <w:lang w:val="en-US" w:eastAsia="zh-CN"/>
        </w:rPr>
        <w:t>日至</w:t>
      </w:r>
      <w:r>
        <w:rPr>
          <w:rFonts w:hint="eastAsia" w:ascii="Times New Roman" w:eastAsia="仿宋_GB2312" w:cs="Times New Roman"/>
          <w:sz w:val="28"/>
          <w:szCs w:val="28"/>
          <w:highlight w:val="none"/>
          <w:u w:val="single"/>
          <w:lang w:val="en-US" w:eastAsia="zh-CN"/>
        </w:rPr>
        <w:t xml:space="preserve">    </w:t>
      </w:r>
      <w:r>
        <w:rPr>
          <w:rFonts w:hint="eastAsia" w:ascii="Times New Roman" w:eastAsia="仿宋_GB2312" w:cs="Times New Roman"/>
          <w:sz w:val="28"/>
          <w:szCs w:val="28"/>
          <w:highlight w:val="none"/>
          <w:u w:val="none"/>
          <w:lang w:val="en-US" w:eastAsia="zh-CN"/>
        </w:rPr>
        <w:t>年</w:t>
      </w:r>
      <w:r>
        <w:rPr>
          <w:rFonts w:hint="eastAsia" w:ascii="Times New Roman" w:eastAsia="仿宋_GB2312" w:cs="Times New Roman"/>
          <w:sz w:val="28"/>
          <w:szCs w:val="28"/>
          <w:highlight w:val="none"/>
          <w:u w:val="single"/>
          <w:lang w:val="en-US" w:eastAsia="zh-CN"/>
        </w:rPr>
        <w:t xml:space="preserve">  </w:t>
      </w:r>
      <w:r>
        <w:rPr>
          <w:rFonts w:hint="eastAsia" w:ascii="Times New Roman" w:eastAsia="仿宋_GB2312" w:cs="Times New Roman"/>
          <w:sz w:val="28"/>
          <w:szCs w:val="28"/>
          <w:highlight w:val="none"/>
          <w:u w:val="none"/>
          <w:lang w:val="en-US" w:eastAsia="zh-CN"/>
        </w:rPr>
        <w:t>月</w:t>
      </w:r>
      <w:r>
        <w:rPr>
          <w:rFonts w:hint="eastAsia" w:ascii="Times New Roman" w:eastAsia="仿宋_GB2312" w:cs="Times New Roman"/>
          <w:sz w:val="28"/>
          <w:szCs w:val="28"/>
          <w:highlight w:val="none"/>
          <w:u w:val="single"/>
          <w:lang w:val="en-US" w:eastAsia="zh-CN"/>
        </w:rPr>
        <w:t xml:space="preserve">  </w:t>
      </w:r>
      <w:r>
        <w:rPr>
          <w:rFonts w:hint="eastAsia" w:ascii="Times New Roman" w:eastAsia="仿宋_GB2312" w:cs="Times New Roman"/>
          <w:sz w:val="28"/>
          <w:szCs w:val="28"/>
          <w:highlight w:val="none"/>
          <w:u w:val="none"/>
          <w:lang w:val="en-US" w:eastAsia="zh-CN"/>
        </w:rPr>
        <w:t>日止。因甲方原因或施工条件，气候等自然条件或其他不可抗力的原因造成施工延误，日期顺延</w:t>
      </w:r>
      <w:r>
        <w:rPr>
          <w:rFonts w:hint="eastAsia" w:ascii="Times New Roman" w:hAnsi="Times New Roman" w:eastAsia="仿宋_GB2312" w:cs="Times New Roman"/>
          <w:sz w:val="28"/>
          <w:szCs w:val="28"/>
          <w:highlight w:val="none"/>
          <w:lang w:eastAsia="zh-CN"/>
        </w:rPr>
        <w:t>。</w:t>
      </w:r>
    </w:p>
    <w:p w14:paraId="516EE2A3">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黑体" w:cs="Times New Roman"/>
          <w:sz w:val="24"/>
          <w:szCs w:val="24"/>
        </w:rPr>
      </w:pPr>
      <w:r>
        <w:rPr>
          <w:rFonts w:hint="eastAsia" w:ascii="Times New Roman" w:hAnsi="Times New Roman" w:eastAsia="黑体" w:cs="Times New Roman"/>
          <w:sz w:val="28"/>
          <w:szCs w:val="28"/>
          <w:lang w:val="en-US" w:eastAsia="zh-CN"/>
        </w:rPr>
        <w:t>四、付款方式：</w:t>
      </w:r>
    </w:p>
    <w:p w14:paraId="52C56542">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本项目不设预付款，工程款（货款</w:t>
      </w:r>
      <w:r>
        <w:rPr>
          <w:rFonts w:hint="eastAsia" w:ascii="Times New Roman" w:hAnsi="Times New Roman" w:eastAsia="仿宋_GB2312" w:cs="Times New Roman"/>
          <w:sz w:val="28"/>
          <w:szCs w:val="28"/>
          <w:lang w:val="en-US" w:eastAsia="zh-CN"/>
        </w:rPr>
        <w:t>/服务款</w:t>
      </w:r>
      <w:r>
        <w:rPr>
          <w:rFonts w:hint="eastAsia" w:ascii="Times New Roman" w:hAnsi="Times New Roman" w:eastAsia="仿宋_GB2312" w:cs="Times New Roman"/>
          <w:sz w:val="28"/>
          <w:szCs w:val="28"/>
          <w:lang w:eastAsia="zh-CN"/>
        </w:rPr>
        <w:t>）按所报价税合计单价结算，项目完成并经验收合格根据实际完成工程量一次性付清工程款（货款</w:t>
      </w:r>
      <w:r>
        <w:rPr>
          <w:rFonts w:hint="eastAsia" w:ascii="Times New Roman" w:hAnsi="Times New Roman" w:eastAsia="仿宋_GB2312" w:cs="Times New Roman"/>
          <w:sz w:val="28"/>
          <w:szCs w:val="28"/>
          <w:lang w:val="en-US" w:eastAsia="zh-CN"/>
        </w:rPr>
        <w:t>/服务款</w:t>
      </w:r>
      <w:r>
        <w:rPr>
          <w:rFonts w:hint="eastAsia"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val="en-US" w:eastAsia="zh-CN"/>
        </w:rPr>
        <w:t>最终以（实际清洗面积*中标单价）结算</w:t>
      </w:r>
      <w:r>
        <w:rPr>
          <w:rFonts w:hint="eastAsia" w:ascii="Times New Roman" w:eastAsia="仿宋_GB2312" w:cs="Times New Roman"/>
          <w:sz w:val="28"/>
          <w:szCs w:val="28"/>
          <w:lang w:val="en-US" w:eastAsia="zh-CN"/>
        </w:rPr>
        <w:t>，</w:t>
      </w:r>
      <w:r>
        <w:rPr>
          <w:rFonts w:hint="eastAsia" w:ascii="Times New Roman" w:hAnsi="Times New Roman" w:eastAsia="仿宋_GB2312" w:cs="Times New Roman"/>
          <w:sz w:val="28"/>
          <w:szCs w:val="28"/>
          <w:lang w:eastAsia="zh-CN"/>
        </w:rPr>
        <w:t>结算前开具增值税专用发票，货款凭合同、发票、验收单支付。本合同所涉的款项甲方均不能以现金方式支付。乙方指定甲方将本合同所涉全部款项以转帐或汇款形式支付至下列帐户中：</w:t>
      </w:r>
    </w:p>
    <w:p w14:paraId="2B3122D3">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乙方账户名：</w:t>
      </w:r>
    </w:p>
    <w:p w14:paraId="0C59C2F8">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开户银行：</w:t>
      </w:r>
    </w:p>
    <w:p w14:paraId="591A9FC1">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 xml:space="preserve">    账号：</w:t>
      </w:r>
    </w:p>
    <w:p w14:paraId="3CEDCDAB">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黑体" w:cs="Times New Roman"/>
          <w:sz w:val="28"/>
          <w:szCs w:val="28"/>
          <w:lang w:val="en-US" w:eastAsia="zh-CN"/>
        </w:rPr>
      </w:pPr>
      <w:r>
        <w:rPr>
          <w:rFonts w:hint="eastAsia" w:ascii="Times New Roman" w:hAnsi="Times New Roman" w:eastAsia="黑体" w:cs="Times New Roman"/>
          <w:sz w:val="28"/>
          <w:szCs w:val="28"/>
          <w:lang w:val="en-US" w:eastAsia="zh-CN"/>
        </w:rPr>
        <w:t>五、安全条款和注意事项：</w:t>
      </w:r>
    </w:p>
    <w:p w14:paraId="1D27489E">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1.现场施工监管人员需经甲方确认实际签到；</w:t>
      </w:r>
    </w:p>
    <w:p w14:paraId="0822E1A7">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2.乙方根据清洗工作计划，及时向甲方上报进度；</w:t>
      </w:r>
    </w:p>
    <w:p w14:paraId="52B35948">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3.乙方对清洁施工作业人员进行安全教育和现场监管；</w:t>
      </w:r>
    </w:p>
    <w:p w14:paraId="6A7ED46B">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4.乙方提供施工作业人员清册及人身意外险保单复印件；</w:t>
      </w:r>
    </w:p>
    <w:p w14:paraId="3926DD1A">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5.因施工现场操作不当造成损失的，由乙方自行赔偿；</w:t>
      </w:r>
    </w:p>
    <w:p w14:paraId="7A2F3DEF">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6.乙方作业前应先检查设施设备和安全带等安全防护措施；</w:t>
      </w:r>
    </w:p>
    <w:p w14:paraId="1A315F27">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7.乙方作业前应在作业面下设警告标志，派专人看护，避免清理工具等掉落砸伤人员等；</w:t>
      </w:r>
    </w:p>
    <w:p w14:paraId="7D48766E">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8.乙方应加强领导，明确责任，认真执行有关安全管理制度及各项安全、消防管理制度，做好安全防范工作；</w:t>
      </w:r>
    </w:p>
    <w:p w14:paraId="1629D84D">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9.乙方作业时，按规范要求摆放警示标志，不得影响大楼正常经营。</w:t>
      </w:r>
    </w:p>
    <w:p w14:paraId="42A73AFD">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黑体" w:cs="Times New Roman"/>
          <w:sz w:val="28"/>
          <w:szCs w:val="28"/>
          <w:lang w:val="en-US" w:eastAsia="zh-CN"/>
        </w:rPr>
      </w:pPr>
      <w:r>
        <w:rPr>
          <w:rFonts w:hint="eastAsia" w:ascii="Times New Roman" w:hAnsi="Times New Roman" w:eastAsia="黑体" w:cs="Times New Roman"/>
          <w:sz w:val="28"/>
          <w:szCs w:val="28"/>
          <w:lang w:val="en-US" w:eastAsia="zh-CN"/>
        </w:rPr>
        <w:t>六、甲、乙双方责任：</w:t>
      </w:r>
    </w:p>
    <w:p w14:paraId="66AC08D8">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1.甲方有权对乙方的清洗过程进行监督，对乙方的违章行为进行纠正或责令停止；</w:t>
      </w:r>
    </w:p>
    <w:p w14:paraId="3C3603A1">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2.乙方必须坚持合法务工，清洗施工人员应持有效上岗证和合法的相关证件，对清洗过程中造成的乙方人员伤亡及他人人身伤亡及财产损坏的由乙方承担全部责任，甲方概不负责，对因此给甲方造成的损失，乙方应负责赔偿。</w:t>
      </w:r>
    </w:p>
    <w:p w14:paraId="42B2EB0C">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3.在清洗过程中，因乙方使用清洁济、工具等对甲方外墙造成腐蚀、损坏的，由乙方负责修复或赔偿</w:t>
      </w:r>
      <w:r>
        <w:rPr>
          <w:rFonts w:hint="eastAsia" w:ascii="Times New Roman" w:hAnsi="Times New Roman" w:eastAsia="仿宋_GB2312" w:cs="Times New Roman"/>
          <w:sz w:val="28"/>
          <w:szCs w:val="28"/>
          <w:lang w:eastAsia="zh-CN"/>
        </w:rPr>
        <w:t>；</w:t>
      </w:r>
    </w:p>
    <w:p w14:paraId="0822A6EC">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4.在清洗过程中乙方如发现幕墙玻璃有任何异常情况必须立即通知甲方；</w:t>
      </w:r>
    </w:p>
    <w:p w14:paraId="232FA7C6">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5.乙方在清洗过程中不能使用对植物有伤害的药水，如发生花坛内植物因清洗造成的伤害或死亡，由乙方负责赔偿；</w:t>
      </w:r>
    </w:p>
    <w:p w14:paraId="545993EE">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6.乙方如有违反甲方安全、消防管理制度的，甲方有权每次从乙方清洗费用中扣除500元</w:t>
      </w:r>
      <w:r>
        <w:rPr>
          <w:rFonts w:hint="eastAsia" w:ascii="Times New Roman" w:eastAsia="仿宋_GB2312" w:cs="Times New Roman"/>
          <w:sz w:val="28"/>
          <w:szCs w:val="28"/>
          <w:lang w:val="en-US" w:eastAsia="zh-CN"/>
        </w:rPr>
        <w:t>，累计扣除最高不超过合同价的5%</w:t>
      </w:r>
      <w:r>
        <w:rPr>
          <w:rFonts w:hint="eastAsia" w:ascii="Times New Roman" w:eastAsia="仿宋_GB2312" w:cs="Times New Roman"/>
          <w:sz w:val="28"/>
          <w:szCs w:val="28"/>
          <w:highlight w:val="none"/>
          <w:lang w:val="en-US" w:eastAsia="zh-CN"/>
        </w:rPr>
        <w:t>（大写：</w:t>
      </w:r>
      <w:r>
        <w:rPr>
          <w:rFonts w:hint="eastAsia" w:ascii="Times New Roman" w:eastAsia="仿宋_GB2312" w:cs="Times New Roman"/>
          <w:sz w:val="28"/>
          <w:szCs w:val="28"/>
          <w:highlight w:val="none"/>
          <w:u w:val="single"/>
          <w:lang w:val="en-US" w:eastAsia="zh-CN"/>
        </w:rPr>
        <w:t xml:space="preserve">     </w:t>
      </w:r>
      <w:r>
        <w:rPr>
          <w:rFonts w:hint="eastAsia" w:ascii="Times New Roman" w:eastAsia="仿宋_GB2312" w:cs="Times New Roman"/>
          <w:sz w:val="28"/>
          <w:szCs w:val="28"/>
          <w:highlight w:val="none"/>
          <w:lang w:val="en-US" w:eastAsia="zh-CN"/>
        </w:rPr>
        <w:t>元）</w:t>
      </w:r>
      <w:r>
        <w:rPr>
          <w:rFonts w:hint="eastAsia" w:ascii="Times New Roman" w:hAnsi="Times New Roman" w:eastAsia="仿宋_GB2312" w:cs="Times New Roman"/>
          <w:sz w:val="28"/>
          <w:szCs w:val="28"/>
          <w:lang w:val="en-US" w:eastAsia="zh-CN"/>
        </w:rPr>
        <w:t>。</w:t>
      </w:r>
    </w:p>
    <w:p w14:paraId="135C1A88">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ascii="Times New Roman" w:hAnsi="Times New Roman" w:eastAsia="仿宋_GB2312" w:cs="Times New Roman"/>
          <w:sz w:val="24"/>
          <w:szCs w:val="24"/>
        </w:rPr>
      </w:pPr>
      <w:r>
        <w:rPr>
          <w:rFonts w:hint="eastAsia" w:ascii="Times New Roman" w:hAnsi="Times New Roman" w:eastAsia="黑体" w:cs="Times New Roman"/>
          <w:sz w:val="28"/>
          <w:szCs w:val="28"/>
          <w:lang w:val="en-US" w:eastAsia="zh-CN"/>
        </w:rPr>
        <w:t xml:space="preserve">七、违约责任：  </w:t>
      </w:r>
      <w:r>
        <w:rPr>
          <w:rFonts w:hint="eastAsia" w:ascii="Times New Roman" w:hAnsi="Times New Roman" w:eastAsia="仿宋_GB2312" w:cs="Times New Roman"/>
          <w:sz w:val="24"/>
          <w:szCs w:val="24"/>
        </w:rPr>
        <w:t xml:space="preserve">                  </w:t>
      </w:r>
    </w:p>
    <w:p w14:paraId="19CE03F6">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因乙方原因不能按时完工，乙方承担给甲方造成的损失，并按每超期一天扣除</w:t>
      </w:r>
      <w:r>
        <w:rPr>
          <w:rFonts w:hint="eastAsia" w:ascii="Times New Roman" w:eastAsia="仿宋_GB2312" w:cs="Times New Roman"/>
          <w:sz w:val="28"/>
          <w:szCs w:val="28"/>
          <w:lang w:val="en-US" w:eastAsia="zh-CN"/>
        </w:rPr>
        <w:t>500元</w:t>
      </w:r>
      <w:r>
        <w:rPr>
          <w:rFonts w:hint="eastAsia" w:ascii="Times New Roman" w:eastAsia="仿宋_GB2312" w:cs="Times New Roman"/>
          <w:sz w:val="28"/>
          <w:szCs w:val="28"/>
          <w:highlight w:val="none"/>
          <w:lang w:val="en-US" w:eastAsia="zh-CN"/>
        </w:rPr>
        <w:t>；逾期超过15日，甲方有权单方面解除合同，并要求乙方赔偿由此造成的全部损失</w:t>
      </w:r>
      <w:r>
        <w:rPr>
          <w:rFonts w:hint="eastAsia" w:ascii="Times New Roman" w:hAnsi="Times New Roman" w:eastAsia="仿宋_GB2312" w:cs="Times New Roman"/>
          <w:sz w:val="28"/>
          <w:szCs w:val="28"/>
          <w:lang w:eastAsia="zh-CN"/>
        </w:rPr>
        <w:t>。由于乙方清洗不合格而验收未通过的，由乙方负责返工费用，直到验收通过为止，甲方保留终止本合同的权利。</w:t>
      </w:r>
    </w:p>
    <w:p w14:paraId="394B32B6">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黑体" w:cs="Times New Roman"/>
          <w:sz w:val="28"/>
          <w:szCs w:val="28"/>
          <w:lang w:val="en-US" w:eastAsia="zh-CN"/>
        </w:rPr>
      </w:pPr>
      <w:r>
        <w:rPr>
          <w:rFonts w:hint="eastAsia" w:ascii="Times New Roman" w:hAnsi="Times New Roman" w:eastAsia="黑体" w:cs="Times New Roman"/>
          <w:sz w:val="28"/>
          <w:szCs w:val="28"/>
          <w:lang w:val="en-US" w:eastAsia="zh-CN"/>
        </w:rPr>
        <w:t>八、争议的解决：</w:t>
      </w:r>
    </w:p>
    <w:p w14:paraId="3150A96A">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一切由于执行本合同引起的有关争议，双方通过友好协商方式解决。协商不成的，可向义乌市人民法院提起诉讼。</w:t>
      </w:r>
    </w:p>
    <w:p w14:paraId="7A9C49CF">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黑体" w:cs="Times New Roman"/>
          <w:sz w:val="24"/>
          <w:szCs w:val="24"/>
        </w:rPr>
      </w:pPr>
      <w:r>
        <w:rPr>
          <w:rFonts w:hint="eastAsia" w:ascii="Times New Roman" w:hAnsi="Times New Roman" w:eastAsia="黑体" w:cs="Times New Roman"/>
          <w:sz w:val="28"/>
          <w:szCs w:val="28"/>
          <w:lang w:val="en-US" w:eastAsia="zh-CN"/>
        </w:rPr>
        <w:t>九、协议文本与生效：</w:t>
      </w:r>
    </w:p>
    <w:p w14:paraId="7BAC35B5">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本合同一式肆份，甲、乙双方各执两份，本合同经双方签字盖章后生效。</w:t>
      </w:r>
    </w:p>
    <w:p w14:paraId="3DD8228C">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 xml:space="preserve">甲方：                      乙方：                                      </w:t>
      </w:r>
    </w:p>
    <w:p w14:paraId="56F0953C">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地址：                      地址：</w:t>
      </w:r>
    </w:p>
    <w:p w14:paraId="3F350CFA">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法定代表</w:t>
      </w:r>
      <w:r>
        <w:rPr>
          <w:rFonts w:hint="eastAsia" w:ascii="Times New Roman" w:eastAsia="仿宋_GB2312" w:cs="Times New Roman"/>
          <w:sz w:val="28"/>
          <w:szCs w:val="28"/>
          <w:lang w:val="en-US" w:eastAsia="zh-CN"/>
        </w:rPr>
        <w:t>人</w:t>
      </w:r>
      <w:r>
        <w:rPr>
          <w:rFonts w:hint="eastAsia" w:ascii="Times New Roman" w:hAnsi="Times New Roman" w:eastAsia="仿宋_GB2312" w:cs="Times New Roman"/>
          <w:sz w:val="28"/>
          <w:szCs w:val="28"/>
          <w:lang w:eastAsia="zh-CN"/>
        </w:rPr>
        <w:t xml:space="preserve">：    </w:t>
      </w:r>
      <w:r>
        <w:rPr>
          <w:rFonts w:hint="eastAsia"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lang w:eastAsia="zh-CN"/>
        </w:rPr>
        <w:t xml:space="preserve">    法定代表</w:t>
      </w:r>
      <w:r>
        <w:rPr>
          <w:rFonts w:hint="eastAsia" w:ascii="Times New Roman" w:eastAsia="仿宋_GB2312" w:cs="Times New Roman"/>
          <w:sz w:val="28"/>
          <w:szCs w:val="28"/>
          <w:lang w:val="en-US" w:eastAsia="zh-CN"/>
        </w:rPr>
        <w:t>人</w:t>
      </w:r>
      <w:r>
        <w:rPr>
          <w:rFonts w:hint="eastAsia" w:ascii="Times New Roman" w:hAnsi="Times New Roman" w:eastAsia="仿宋_GB2312" w:cs="Times New Roman"/>
          <w:sz w:val="28"/>
          <w:szCs w:val="28"/>
          <w:lang w:eastAsia="zh-CN"/>
        </w:rPr>
        <w:t>：</w:t>
      </w:r>
    </w:p>
    <w:p w14:paraId="56825992">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电话：                      电话：</w:t>
      </w:r>
    </w:p>
    <w:p w14:paraId="73BF8A17">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 xml:space="preserve">                             </w:t>
      </w:r>
    </w:p>
    <w:p w14:paraId="6ECB689D">
      <w:pPr>
        <w:keepNext w:val="0"/>
        <w:keepLines w:val="0"/>
        <w:pageBreakBefore w:val="0"/>
        <w:widowControl w:val="0"/>
        <w:kinsoku/>
        <w:wordWrap/>
        <w:overflowPunct/>
        <w:topLinePunct w:val="0"/>
        <w:autoSpaceDE/>
        <w:autoSpaceDN/>
        <w:bidi w:val="0"/>
        <w:adjustRightInd/>
        <w:snapToGrid/>
        <w:spacing w:line="540" w:lineRule="exact"/>
        <w:ind w:left="19" w:leftChars="8" w:firstLine="383" w:firstLineChars="137"/>
        <w:jc w:val="right"/>
        <w:textAlignment w:val="auto"/>
      </w:pPr>
      <w:r>
        <w:rPr>
          <w:rFonts w:hint="eastAsia" w:ascii="Times New Roman" w:hAnsi="Times New Roman" w:eastAsia="仿宋_GB2312" w:cs="Times New Roman"/>
          <w:sz w:val="28"/>
          <w:szCs w:val="28"/>
          <w:lang w:eastAsia="zh-CN"/>
        </w:rPr>
        <w:t xml:space="preserve">                     日期    </w:t>
      </w:r>
      <w:r>
        <w:rPr>
          <w:rFonts w:hint="eastAsia"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lang w:eastAsia="zh-CN"/>
        </w:rPr>
        <w:t xml:space="preserve"> 年   月   日</w:t>
      </w:r>
    </w:p>
    <w:sectPr>
      <w:headerReference r:id="rId3" w:type="default"/>
      <w:footerReference r:id="rId4" w:type="default"/>
      <w:footerReference r:id="rId5" w:type="even"/>
      <w:pgSz w:w="11906" w:h="16838"/>
      <w:pgMar w:top="568" w:right="1392" w:bottom="709" w:left="1474" w:header="964" w:footer="890" w:gutter="0"/>
      <w:cols w:space="720" w:num="1"/>
      <w:docGrid w:type="lines" w:linePitch="2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A122D">
    <w:pPr>
      <w:pStyle w:val="4"/>
      <w:jc w:val="center"/>
    </w:pPr>
    <w:r>
      <w:rPr>
        <w:rFonts w:hint="eastAsia"/>
        <w:lang w:val="zh-CN"/>
      </w:rPr>
      <w:t>第</w:t>
    </w:r>
    <w:r>
      <w:fldChar w:fldCharType="begin"/>
    </w:r>
    <w:r>
      <w:instrText xml:space="preserve">PAGE</w:instrText>
    </w:r>
    <w:r>
      <w:fldChar w:fldCharType="separate"/>
    </w:r>
    <w:r>
      <w:t>2</w:t>
    </w:r>
    <w:r>
      <w:fldChar w:fldCharType="end"/>
    </w:r>
    <w:r>
      <w:rPr>
        <w:rFonts w:hint="eastAsia"/>
      </w:rPr>
      <w:t>页</w:t>
    </w:r>
    <w:r>
      <w:t xml:space="preserve">   </w:t>
    </w:r>
    <w:r>
      <w:rPr>
        <w:lang w:val="zh-CN"/>
      </w:rPr>
      <w:t xml:space="preserve"> </w:t>
    </w:r>
    <w:r>
      <w:rPr>
        <w:rFonts w:hint="eastAsia"/>
        <w:lang w:val="zh-CN"/>
      </w:rPr>
      <w:t>共</w:t>
    </w:r>
    <w:r>
      <w:rPr>
        <w:lang w:val="zh-CN"/>
      </w:rPr>
      <w:t xml:space="preserve"> </w:t>
    </w:r>
    <w:r>
      <w:fldChar w:fldCharType="begin"/>
    </w:r>
    <w:r>
      <w:instrText xml:space="preserve">NUMPAGES</w:instrText>
    </w:r>
    <w:r>
      <w:fldChar w:fldCharType="separate"/>
    </w:r>
    <w:r>
      <w:t>2</w:t>
    </w:r>
    <w:r>
      <w:fldChar w:fldCharType="end"/>
    </w:r>
    <w:r>
      <w:rPr>
        <w:rFonts w:hint="eastAsia"/>
      </w:rPr>
      <w:t>页</w:t>
    </w:r>
  </w:p>
  <w:p w14:paraId="34ED901C">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0590A">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14:paraId="2024D7E1">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0365B">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317E0E"/>
    <w:multiLevelType w:val="singleLevel"/>
    <w:tmpl w:val="5B317E0E"/>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671638"/>
    <w:rsid w:val="11B7667D"/>
    <w:rsid w:val="16425322"/>
    <w:rsid w:val="24A01BB2"/>
    <w:rsid w:val="256C322B"/>
    <w:rsid w:val="27C429D9"/>
    <w:rsid w:val="2FED55FF"/>
    <w:rsid w:val="32236BAB"/>
    <w:rsid w:val="351E6C11"/>
    <w:rsid w:val="36DC3A7D"/>
    <w:rsid w:val="3E533C86"/>
    <w:rsid w:val="4C68258E"/>
    <w:rsid w:val="4FE764D7"/>
    <w:rsid w:val="52892A35"/>
    <w:rsid w:val="53E02A69"/>
    <w:rsid w:val="595C637A"/>
    <w:rsid w:val="59EB67D1"/>
    <w:rsid w:val="612E484D"/>
    <w:rsid w:val="658E5B0E"/>
    <w:rsid w:val="66CD24A8"/>
    <w:rsid w:val="6C926C63"/>
    <w:rsid w:val="78520C1D"/>
    <w:rsid w:val="79E07D2B"/>
    <w:rsid w:val="7C75081D"/>
    <w:rsid w:val="7F781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Times New Roman" w:eastAsia="宋体" w:cs="Times New Roman"/>
      <w:kern w:val="2"/>
      <w:sz w:val="24"/>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w:basedOn w:val="1"/>
    <w:qFormat/>
    <w:uiPriority w:val="1"/>
    <w:rPr>
      <w:rFonts w:ascii="宋体" w:hAnsi="宋体" w:eastAsia="宋体" w:cs="宋体"/>
      <w:sz w:val="22"/>
      <w:szCs w:val="22"/>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6">
    <w:name w:val="Message Header"/>
    <w:basedOn w:val="1"/>
    <w:next w:val="1"/>
    <w:unhideWhenUsed/>
    <w:qFormat/>
    <w:uiPriority w:val="0"/>
    <w:pPr>
      <w:pBdr>
        <w:top w:val="single" w:color="auto" w:sz="6" w:space="1"/>
        <w:left w:val="single" w:color="auto" w:sz="6" w:space="1"/>
        <w:bottom w:val="single" w:color="auto" w:sz="6" w:space="1"/>
        <w:right w:val="single" w:color="auto" w:sz="6" w:space="1"/>
      </w:pBdr>
      <w:shd w:val="pct20" w:color="auto" w:fill="auto"/>
      <w:spacing w:beforeLines="0" w:afterLines="0"/>
      <w:ind w:left="1080" w:leftChars="500" w:hanging="1080" w:hangingChars="500"/>
    </w:pPr>
    <w:rPr>
      <w:rFonts w:hint="default" w:ascii="Cambria" w:hAnsi="Cambria"/>
      <w:sz w:val="24"/>
      <w:szCs w:val="24"/>
    </w:rPr>
  </w:style>
  <w:style w:type="character" w:styleId="9">
    <w:name w:val="page number"/>
    <w:qFormat/>
    <w:uiPriority w:val="99"/>
    <w:rPr>
      <w:rFonts w:cs="Times New Roman"/>
    </w:rPr>
  </w:style>
  <w:style w:type="character" w:styleId="10">
    <w:name w:val="annotation reference"/>
    <w:basedOn w:val="8"/>
    <w:qFormat/>
    <w:uiPriority w:val="0"/>
    <w:rPr>
      <w:sz w:val="21"/>
      <w:szCs w:val="21"/>
    </w:rPr>
  </w:style>
  <w:style w:type="paragraph" w:customStyle="1" w:styleId="11">
    <w:name w:val="Blockquote"/>
    <w:basedOn w:val="1"/>
    <w:qFormat/>
    <w:uiPriority w:val="0"/>
    <w:pPr>
      <w:autoSpaceDE w:val="0"/>
      <w:autoSpaceDN w:val="0"/>
      <w:adjustRightInd w:val="0"/>
      <w:spacing w:before="100" w:after="100"/>
      <w:ind w:left="360" w:right="360"/>
      <w:jc w:val="left"/>
    </w:pPr>
    <w:rPr>
      <w:rFonts w:ascii="Times New Roman"/>
      <w:kern w:val="0"/>
      <w:szCs w:val="20"/>
    </w:rPr>
  </w:style>
  <w:style w:type="character" w:customStyle="1" w:styleId="12">
    <w:name w:val="font41"/>
    <w:basedOn w:val="8"/>
    <w:qFormat/>
    <w:uiPriority w:val="0"/>
    <w:rPr>
      <w:rFonts w:hint="eastAsia" w:ascii="宋体" w:hAnsi="宋体" w:eastAsia="宋体" w:cs="宋体"/>
      <w:color w:val="000000"/>
      <w:sz w:val="24"/>
      <w:szCs w:val="24"/>
      <w:u w:val="none"/>
    </w:rPr>
  </w:style>
  <w:style w:type="character" w:customStyle="1" w:styleId="13">
    <w:name w:val="font21"/>
    <w:basedOn w:val="8"/>
    <w:qFormat/>
    <w:uiPriority w:val="0"/>
    <w:rPr>
      <w:rFonts w:hint="eastAsia" w:ascii="黑体" w:hAnsi="宋体" w:eastAsia="黑体" w:cs="黑体"/>
      <w:color w:val="000000"/>
      <w:sz w:val="24"/>
      <w:szCs w:val="24"/>
      <w:u w:val="none"/>
    </w:rPr>
  </w:style>
  <w:style w:type="paragraph" w:styleId="14">
    <w:name w:val="List Paragraph"/>
    <w:basedOn w:val="1"/>
    <w:qFormat/>
    <w:uiPriority w:val="1"/>
    <w:pPr>
      <w:ind w:left="1758" w:hanging="248"/>
    </w:pPr>
    <w:rPr>
      <w:rFonts w:ascii="宋体" w:hAnsi="宋体" w:eastAsia="宋体" w:cs="宋体"/>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1905</Words>
  <Characters>1967</Characters>
  <Lines>0</Lines>
  <Paragraphs>0</Paragraphs>
  <TotalTime>23</TotalTime>
  <ScaleCrop>false</ScaleCrop>
  <LinksUpToDate>false</LinksUpToDate>
  <CharactersWithSpaces>2280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2026-10-10T09:00:00Z</dcterms:created>
  <dc:creator>Administrator</dc:creator>
  <cp:lastModifiedBy>KatNiss</cp:lastModifiedBy>
  <dcterms:modified xsi:type="dcterms:W3CDTF">2026-10-22T06:27:59Z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eyJoZGlkIjoiZjQ1MjA2MDU2NzdkMjc3OTk5ZTc3ZGMzOTNkYzJhNzYiLCJ1c2VySWQiOiIxMDMyMDM2MzY0In0=</vt:lpwstr>
  </property>
  <property fmtid="{D5CDD505-2E9C-101B-9397-08002B2CF9AE}" pid="4" name="ICV">
    <vt:lpwstr>E92D285ADAB94A9D8DE4C11171F05B92_12</vt:lpwstr>
  </property>
</Properties>
</file>