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青岛、长沙金茂览秀城石材养护服务采购公告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青岛方虔置业有限公司第一分公司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15:00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孙皓晨 / 18811172052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及范围2026-2028年青岛、长沙金茂览秀城石材养护服务，主要负责商场内各楼层石材打磨结晶养护及日常边角处理等工作，包括打磨抛光工艺、结晶养护、晶面养护三道程序。另，石材出现以下情况需进行石材翻新：目视距离0.5米处，出现麻眼、裂纹、破损、凹陷、黄斑、色斑，每块石材3处以上（含3处）裂纹、破损或鼓包、污染面积超过三分之一，石材划痕明显，石面返碱严重等情况。标段01青岛金茂览秀城：合同时间2026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本标讯为湖南省 / 长沙市石材翻新养护类项目，招标单位为 青岛方虔置业有限公司第一分公司。报名截止时间为 2026-11-02 15:00，建议投标方重点核对高空作业资质、人员保险、安全施工方案及业绩案例要求，并在原公告渠道下载正式招标文件。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对药剂品牌、结晶工艺、光泽度验收标准较敏感，常要求提供小样或工艺说明。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针对「石材翻新养护」场景，蜘蛛工整理了配套清洁方案、作业标准、标书模板及投标必备资料，供会员企业参考使用，可进入方案页面查看详情：https://www.zhizhutegong.com/plan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19:03。最新信息请以官方原公告为准。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