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85AF1">
      <w:pPr>
        <w:spacing w:line="312" w:lineRule="auto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评审标准</w:t>
      </w:r>
    </w:p>
    <w:tbl>
      <w:tblPr>
        <w:tblStyle w:val="4"/>
        <w:tblpPr w:leftFromText="180" w:rightFromText="180" w:vertAnchor="text" w:tblpXSpec="center" w:tblpY="1"/>
        <w:tblOverlap w:val="never"/>
        <w:tblW w:w="10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185"/>
        <w:gridCol w:w="765"/>
        <w:gridCol w:w="5728"/>
        <w:gridCol w:w="1500"/>
        <w:gridCol w:w="1050"/>
      </w:tblGrid>
      <w:tr w14:paraId="04B6B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05" w:type="dxa"/>
            <w:noWrap w:val="0"/>
            <w:vAlign w:val="center"/>
          </w:tcPr>
          <w:p w14:paraId="1A49A9D0">
            <w:pPr>
              <w:spacing w:line="440" w:lineRule="exact"/>
              <w:jc w:val="center"/>
              <w:rPr>
                <w:rFonts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85" w:type="dxa"/>
            <w:noWrap w:val="0"/>
            <w:vAlign w:val="center"/>
          </w:tcPr>
          <w:p w14:paraId="667CD2AA">
            <w:pPr>
              <w:spacing w:line="440" w:lineRule="exact"/>
              <w:jc w:val="center"/>
              <w:rPr>
                <w:rFonts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  <w:t>评分因素</w:t>
            </w:r>
          </w:p>
        </w:tc>
        <w:tc>
          <w:tcPr>
            <w:tcW w:w="765" w:type="dxa"/>
            <w:noWrap w:val="0"/>
            <w:vAlign w:val="center"/>
          </w:tcPr>
          <w:p w14:paraId="6BC422FB">
            <w:pPr>
              <w:spacing w:line="440" w:lineRule="exact"/>
              <w:jc w:val="center"/>
              <w:rPr>
                <w:rFonts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5728" w:type="dxa"/>
            <w:noWrap w:val="0"/>
            <w:vAlign w:val="center"/>
          </w:tcPr>
          <w:p w14:paraId="1DB1D066">
            <w:pPr>
              <w:spacing w:line="440" w:lineRule="exact"/>
              <w:jc w:val="center"/>
              <w:rPr>
                <w:rFonts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  <w:t>评分标准</w:t>
            </w:r>
          </w:p>
        </w:tc>
        <w:tc>
          <w:tcPr>
            <w:tcW w:w="1500" w:type="dxa"/>
            <w:noWrap w:val="0"/>
            <w:vAlign w:val="center"/>
          </w:tcPr>
          <w:p w14:paraId="2172DEC3">
            <w:pPr>
              <w:pStyle w:val="6"/>
              <w:spacing w:before="0" w:after="0" w:line="440" w:lineRule="exact"/>
              <w:rPr>
                <w:rFonts w:ascii="宋体" w:hAnsi="宋体" w:eastAsia="宋体" w:cs="宋体"/>
                <w:color w:val="auto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Cs w:val="24"/>
              </w:rPr>
              <w:t>说明</w:t>
            </w:r>
          </w:p>
        </w:tc>
        <w:tc>
          <w:tcPr>
            <w:tcW w:w="1050" w:type="dxa"/>
            <w:noWrap w:val="0"/>
            <w:vAlign w:val="center"/>
          </w:tcPr>
          <w:p w14:paraId="2AA959E5">
            <w:pPr>
              <w:pStyle w:val="6"/>
              <w:spacing w:before="0" w:after="0" w:line="440" w:lineRule="exact"/>
              <w:rPr>
                <w:rFonts w:hint="eastAsia" w:ascii="宋体" w:hAnsi="宋体" w:eastAsia="宋体" w:cs="宋体"/>
                <w:color w:val="auto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4"/>
                <w:lang w:eastAsia="zh-CN"/>
              </w:rPr>
              <w:t>得分</w:t>
            </w:r>
          </w:p>
        </w:tc>
      </w:tr>
      <w:tr w14:paraId="23DB4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705" w:type="dxa"/>
            <w:noWrap w:val="0"/>
            <w:vAlign w:val="center"/>
          </w:tcPr>
          <w:p w14:paraId="0E301FAD">
            <w:pPr>
              <w:spacing w:line="360" w:lineRule="exact"/>
              <w:jc w:val="center"/>
              <w:rPr>
                <w:rFonts w:ascii="宋体" w:hAnsi="宋体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方正仿宋_GBK"/>
                <w:color w:val="auto"/>
                <w:sz w:val="24"/>
                <w:szCs w:val="24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 w14:paraId="2DEFD0C4">
            <w:pPr>
              <w:spacing w:line="360" w:lineRule="exact"/>
              <w:rPr>
                <w:rFonts w:hint="eastAsia" w:ascii="宋体" w:hAnsi="宋体" w:eastAsia="宋体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方正仿宋_GBK"/>
                <w:color w:val="auto"/>
                <w:sz w:val="24"/>
                <w:szCs w:val="24"/>
                <w:lang w:val="en-US" w:eastAsia="zh-CN"/>
              </w:rPr>
              <w:t>报价部分</w:t>
            </w:r>
          </w:p>
        </w:tc>
        <w:tc>
          <w:tcPr>
            <w:tcW w:w="765" w:type="dxa"/>
            <w:noWrap w:val="0"/>
            <w:vAlign w:val="center"/>
          </w:tcPr>
          <w:p w14:paraId="02095FAA">
            <w:pPr>
              <w:spacing w:line="360" w:lineRule="exact"/>
              <w:jc w:val="center"/>
              <w:rPr>
                <w:rFonts w:hint="default" w:ascii="宋体" w:hAnsi="宋体" w:eastAsia="宋体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方正仿宋_GBK"/>
                <w:color w:val="auto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5728" w:type="dxa"/>
            <w:noWrap w:val="0"/>
            <w:vAlign w:val="center"/>
          </w:tcPr>
          <w:p w14:paraId="60E95CDA">
            <w:pPr>
              <w:widowControl/>
              <w:spacing w:line="300" w:lineRule="exact"/>
              <w:outlineLvl w:val="2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报价部分满分为30分。价格分值按照下列公式计算：谈判报价得分=(谈判基准价／谈判报价)×30，四舍五入，保留两位小数。</w:t>
            </w:r>
          </w:p>
          <w:p w14:paraId="2C224658">
            <w:pPr>
              <w:widowControl/>
              <w:spacing w:line="300" w:lineRule="exact"/>
              <w:outlineLvl w:val="2"/>
              <w:rPr>
                <w:rFonts w:ascii="宋体" w:hAnsi="宋体" w:cs="方正仿宋_GBK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23F3BAA7">
            <w:pPr>
              <w:spacing w:line="360" w:lineRule="exact"/>
              <w:rPr>
                <w:rFonts w:ascii="宋体" w:hAnsi="宋体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高于预算价为无效报价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谈判基准价为有效报价的平均值。</w:t>
            </w:r>
          </w:p>
        </w:tc>
        <w:tc>
          <w:tcPr>
            <w:tcW w:w="1050" w:type="dxa"/>
            <w:noWrap w:val="0"/>
            <w:vAlign w:val="center"/>
          </w:tcPr>
          <w:p w14:paraId="6F4CAD06">
            <w:pPr>
              <w:spacing w:line="360" w:lineRule="exact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</w:p>
        </w:tc>
      </w:tr>
      <w:tr w14:paraId="624B0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5" w:hRule="atLeast"/>
        </w:trPr>
        <w:tc>
          <w:tcPr>
            <w:tcW w:w="705" w:type="dxa"/>
            <w:noWrap w:val="0"/>
            <w:vAlign w:val="center"/>
          </w:tcPr>
          <w:p w14:paraId="1BF4F866">
            <w:pPr>
              <w:spacing w:line="360" w:lineRule="exact"/>
              <w:jc w:val="center"/>
              <w:rPr>
                <w:rFonts w:ascii="宋体" w:hAnsi="宋体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方正仿宋_GBK"/>
                <w:color w:val="auto"/>
                <w:sz w:val="24"/>
                <w:szCs w:val="24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 w14:paraId="30308439">
            <w:pPr>
              <w:spacing w:line="360" w:lineRule="exact"/>
              <w:jc w:val="center"/>
              <w:rPr>
                <w:rFonts w:hint="eastAsia" w:ascii="宋体" w:hAnsi="宋体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方正仿宋_GBK"/>
                <w:color w:val="auto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宋体" w:hAnsi="宋体" w:cs="方正仿宋_GBK"/>
                <w:color w:val="auto"/>
                <w:sz w:val="24"/>
                <w:szCs w:val="24"/>
              </w:rPr>
              <w:t>部分</w:t>
            </w:r>
          </w:p>
          <w:p w14:paraId="1EFC6813">
            <w:pPr>
              <w:spacing w:line="360" w:lineRule="exact"/>
              <w:jc w:val="center"/>
              <w:rPr>
                <w:rFonts w:hint="eastAsia" w:ascii="宋体" w:hAnsi="宋体" w:eastAsia="宋体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noWrap w:val="0"/>
            <w:vAlign w:val="center"/>
          </w:tcPr>
          <w:p w14:paraId="200D224F">
            <w:pPr>
              <w:spacing w:line="240" w:lineRule="exact"/>
              <w:jc w:val="center"/>
              <w:rPr>
                <w:rFonts w:hint="default" w:ascii="宋体" w:hAnsi="宋体" w:eastAsia="微软雅黑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微软雅黑" w:cs="方正仿宋_GBK"/>
                <w:color w:val="auto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5728" w:type="dxa"/>
            <w:noWrap w:val="0"/>
            <w:vAlign w:val="center"/>
          </w:tcPr>
          <w:p w14:paraId="625EECBE">
            <w:pPr>
              <w:widowControl/>
              <w:spacing w:line="300" w:lineRule="exact"/>
              <w:outlineLvl w:val="2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①作业流程、管网清洗方案、打压检漏方案（12 分）：流程完整，针对主管网分段清洗、排气检漏有针对性方案，12 分；方案基本齐全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 分；方案简略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分</w:t>
            </w:r>
          </w:p>
          <w:p w14:paraId="41EFE70A">
            <w:pPr>
              <w:widowControl/>
              <w:spacing w:line="300" w:lineRule="exact"/>
              <w:outlineLvl w:val="2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②现场作业保障、安全及医院专项应急预案（12 分）：包含病房区域降噪、防滑防护、污水收集处置、漏水应急处置、避免干扰医疗秩序措施，方案完善 12 分；基本满足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 分；缺少医院专项保障预案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 分</w:t>
            </w:r>
          </w:p>
          <w:p w14:paraId="0CD7708C">
            <w:pPr>
              <w:widowControl/>
              <w:spacing w:line="300" w:lineRule="exact"/>
              <w:outlineLvl w:val="2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③质量管控、验收方案、质保服务方案（10 分）：包含清洗前后影像留存、打压检测记录、验收资料报送、质保期保障措施，方案完善 10 分；一般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 分；较差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 分</w:t>
            </w:r>
          </w:p>
          <w:p w14:paraId="14716B97"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④投入设备、作业人员配置（6 分）：脉冲清洗设备、打压检测设备齐全，作业人员经验充足，6 分；设备配置不足 3 分</w:t>
            </w:r>
          </w:p>
        </w:tc>
        <w:tc>
          <w:tcPr>
            <w:tcW w:w="1500" w:type="dxa"/>
            <w:noWrap w:val="0"/>
            <w:vAlign w:val="center"/>
          </w:tcPr>
          <w:p w14:paraId="7F95E976">
            <w:pPr>
              <w:spacing w:line="360" w:lineRule="exact"/>
              <w:rPr>
                <w:rFonts w:ascii="宋体" w:hAnsi="宋体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采购人根据采购服务要求，对各供应商提供的书面方案进行横向比较评分。</w:t>
            </w:r>
          </w:p>
        </w:tc>
        <w:tc>
          <w:tcPr>
            <w:tcW w:w="1050" w:type="dxa"/>
            <w:noWrap w:val="0"/>
            <w:vAlign w:val="center"/>
          </w:tcPr>
          <w:p w14:paraId="686C1B31">
            <w:pPr>
              <w:spacing w:line="360" w:lineRule="exact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</w:p>
        </w:tc>
      </w:tr>
      <w:tr w14:paraId="04465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0" w:hRule="atLeast"/>
        </w:trPr>
        <w:tc>
          <w:tcPr>
            <w:tcW w:w="705" w:type="dxa"/>
            <w:noWrap w:val="0"/>
            <w:vAlign w:val="center"/>
          </w:tcPr>
          <w:p w14:paraId="5B98CE65">
            <w:pPr>
              <w:spacing w:line="320" w:lineRule="exact"/>
              <w:jc w:val="center"/>
              <w:rPr>
                <w:rFonts w:ascii="宋体" w:hAnsi="宋体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方正仿宋_GBK"/>
                <w:color w:val="auto"/>
                <w:sz w:val="24"/>
                <w:szCs w:val="24"/>
              </w:rPr>
              <w:t>3</w:t>
            </w:r>
          </w:p>
        </w:tc>
        <w:tc>
          <w:tcPr>
            <w:tcW w:w="1185" w:type="dxa"/>
            <w:noWrap w:val="0"/>
            <w:vAlign w:val="center"/>
          </w:tcPr>
          <w:p w14:paraId="5CD6E44A">
            <w:pPr>
              <w:spacing w:line="320" w:lineRule="exact"/>
              <w:jc w:val="center"/>
              <w:rPr>
                <w:rFonts w:hint="eastAsia" w:ascii="宋体" w:hAnsi="宋体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方正仿宋_GBK"/>
                <w:color w:val="auto"/>
                <w:sz w:val="24"/>
                <w:szCs w:val="24"/>
              </w:rPr>
              <w:t>商务部分</w:t>
            </w:r>
          </w:p>
          <w:p w14:paraId="6133B47F">
            <w:pPr>
              <w:spacing w:line="320" w:lineRule="exact"/>
              <w:jc w:val="center"/>
              <w:rPr>
                <w:rFonts w:hint="eastAsia" w:ascii="宋体" w:hAnsi="宋体" w:eastAsia="宋体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noWrap w:val="0"/>
            <w:vAlign w:val="center"/>
          </w:tcPr>
          <w:p w14:paraId="02AABAFD">
            <w:pPr>
              <w:widowControl/>
              <w:spacing w:line="300" w:lineRule="exact"/>
              <w:jc w:val="center"/>
              <w:outlineLvl w:val="2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5728" w:type="dxa"/>
            <w:noWrap w:val="0"/>
            <w:vAlign w:val="center"/>
          </w:tcPr>
          <w:p w14:paraId="7BFA7F86">
            <w:pPr>
              <w:widowControl/>
              <w:spacing w:line="300" w:lineRule="exact"/>
              <w:outlineLvl w:val="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①项目实施组织管理方案（15 分）：配备项目负责人、现场安全员、专职技术员，岗位职责清晰，施工排班计划适配医院非诊疗时段施工、现场管理制度完善得 15 分；人员配置齐全、方案较合理得 10 分；人员配置不全、方案简单得 5 分</w:t>
            </w:r>
          </w:p>
          <w:p w14:paraId="5B95BD5C">
            <w:pPr>
              <w:widowControl/>
              <w:spacing w:line="300" w:lineRule="exact"/>
              <w:outlineLvl w:val="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②企业信用、承诺文件（5 分）：信用查询承诺、不得转包 / 转委托承诺、安全责任承诺齐全得 5 分，缺一项扣 2 分，扣完为止</w:t>
            </w:r>
          </w:p>
          <w:p w14:paraId="4C39C656"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③售后响应服务（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分）：质保期内故障 2 小时到场、4 小时处置得 5 分；4–8 小时到场得 3 分；8 小时以上到场得 1 分</w:t>
            </w:r>
          </w:p>
        </w:tc>
        <w:tc>
          <w:tcPr>
            <w:tcW w:w="1500" w:type="dxa"/>
            <w:noWrap w:val="0"/>
            <w:vAlign w:val="center"/>
          </w:tcPr>
          <w:p w14:paraId="7EE850C2">
            <w:pPr>
              <w:spacing w:line="320" w:lineRule="exact"/>
              <w:rPr>
                <w:rFonts w:ascii="宋体" w:hAnsi="宋体" w:cs="方正仿宋_GBK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240C2690">
            <w:pPr>
              <w:spacing w:line="320" w:lineRule="exact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</w:p>
        </w:tc>
      </w:tr>
    </w:tbl>
    <w:p w14:paraId="63EFA06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4855EB"/>
    <w:rsid w:val="0F4855EB"/>
    <w:rsid w:val="19B2470C"/>
    <w:rsid w:val="31874273"/>
    <w:rsid w:val="52F30D9A"/>
    <w:rsid w:val="5F21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图例"/>
    <w:basedOn w:val="1"/>
    <w:qFormat/>
    <w:uiPriority w:val="0"/>
    <w:pPr>
      <w:spacing w:before="120" w:after="120" w:line="360" w:lineRule="auto"/>
      <w:jc w:val="center"/>
    </w:pPr>
    <w:rPr>
      <w:rFonts w:eastAsia="仿宋_GB2312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659</Words>
  <Characters>677</Characters>
  <Lines>0</Lines>
  <Paragraphs>0</Paragraphs>
  <TotalTime>0</TotalTime>
  <ScaleCrop>false</ScaleCrop>
  <LinksUpToDate>false</LinksUpToDate>
  <CharactersWithSpaces>726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2026-10-26T08:32:00Z</dcterms:created>
  <dc:creator>Potatoྀི</dc:creator>
  <cp:lastModifiedBy>Potatoྀི</cp:lastModifiedBy>
  <dcterms:modified xsi:type="dcterms:W3CDTF">2026-10-27T09:26:35Z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73454B9ACB6148E48846FADCC2B03B85_11</vt:lpwstr>
  </property>
  <property fmtid="{D5CDD505-2E9C-101B-9397-08002B2CF9AE}" pid="4" name="KSOTemplateDocerSaveRecord">
    <vt:lpwstr>eyJoZGlkIjoiYmJiZDRiMGRhY2JlNGM3YjlkMTBhZTkxM2M0NDNjMzAiLCJ1c2VySWQiOiIxMTU1MTY1NjM5In0=</vt:lpwstr>
  </property>
</Properties>
</file>