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C7E8AAC">
      <w:pPr>
        <w:spacing w:line="312" w:lineRule="auto"/>
        <w:jc w:val="center"/>
        <w:rPr>
          <w:rFonts w:ascii="宋体" w:hAnsi="宋体" w:cs="宋体"/>
          <w:b/>
          <w:bCs/>
          <w:sz w:val="28"/>
          <w:szCs w:val="28"/>
        </w:rPr>
      </w:pPr>
      <w:r>
        <w:rPr>
          <w:rFonts w:hint="eastAsia" w:ascii="宋体" w:hAnsi="宋体" w:cs="宋体"/>
          <w:b/>
          <w:bCs/>
          <w:sz w:val="28"/>
          <w:szCs w:val="28"/>
        </w:rPr>
        <w:t>评审标准</w:t>
      </w:r>
    </w:p>
    <w:tbl>
      <w:tblPr>
        <w:tblStyle w:val="4"/>
        <w:tblpPr w:leftFromText="180" w:rightFromText="180" w:vertAnchor="text" w:tblpXSpec="center" w:tblpY="1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5"/>
        <w:gridCol w:w="1185"/>
        <w:gridCol w:w="765"/>
        <w:gridCol w:w="5728"/>
        <w:gridCol w:w="1500"/>
        <w:gridCol w:w="1050"/>
      </w:tblGrid>
      <w:tr w14:paraId="41C20E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7" w:hRule="atLeast"/>
        </w:trPr>
        <w:tc>
          <w:tcPr>
            <w:tcW w:w="705" w:type="dxa"/>
            <w:noWrap w:val="0"/>
            <w:vAlign w:val="center"/>
          </w:tcPr>
          <w:p w14:paraId="212A0A3C">
            <w:pPr>
              <w:spacing w:line="440" w:lineRule="exact"/>
              <w:jc w:val="center"/>
              <w:rPr>
                <w:rFonts w:ascii="宋体" w:hAnsi="宋体" w:cs="宋体"/>
                <w:b/>
                <w:color w:val="auto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color w:val="auto"/>
                <w:sz w:val="24"/>
                <w:szCs w:val="24"/>
              </w:rPr>
              <w:t>序号</w:t>
            </w:r>
          </w:p>
        </w:tc>
        <w:tc>
          <w:tcPr>
            <w:tcW w:w="1185" w:type="dxa"/>
            <w:noWrap w:val="0"/>
            <w:vAlign w:val="center"/>
          </w:tcPr>
          <w:p w14:paraId="5F1D5A58">
            <w:pPr>
              <w:spacing w:line="440" w:lineRule="exact"/>
              <w:jc w:val="center"/>
              <w:rPr>
                <w:rFonts w:ascii="宋体" w:hAnsi="宋体" w:cs="宋体"/>
                <w:b/>
                <w:color w:val="auto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color w:val="auto"/>
                <w:sz w:val="24"/>
                <w:szCs w:val="24"/>
              </w:rPr>
              <w:t>评分因素</w:t>
            </w:r>
          </w:p>
        </w:tc>
        <w:tc>
          <w:tcPr>
            <w:tcW w:w="765" w:type="dxa"/>
            <w:noWrap w:val="0"/>
            <w:vAlign w:val="center"/>
          </w:tcPr>
          <w:p w14:paraId="766EA434">
            <w:pPr>
              <w:spacing w:line="440" w:lineRule="exact"/>
              <w:jc w:val="center"/>
              <w:rPr>
                <w:rFonts w:ascii="宋体" w:hAnsi="宋体" w:cs="宋体"/>
                <w:b/>
                <w:color w:val="auto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color w:val="auto"/>
                <w:sz w:val="24"/>
                <w:szCs w:val="24"/>
              </w:rPr>
              <w:t>分值</w:t>
            </w:r>
          </w:p>
        </w:tc>
        <w:tc>
          <w:tcPr>
            <w:tcW w:w="5728" w:type="dxa"/>
            <w:noWrap w:val="0"/>
            <w:vAlign w:val="center"/>
          </w:tcPr>
          <w:p w14:paraId="0489199B">
            <w:pPr>
              <w:spacing w:line="440" w:lineRule="exact"/>
              <w:jc w:val="center"/>
              <w:rPr>
                <w:rFonts w:ascii="宋体" w:hAnsi="宋体" w:cs="宋体"/>
                <w:b/>
                <w:color w:val="auto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color w:val="auto"/>
                <w:sz w:val="24"/>
                <w:szCs w:val="24"/>
              </w:rPr>
              <w:t>评分标准</w:t>
            </w:r>
          </w:p>
        </w:tc>
        <w:tc>
          <w:tcPr>
            <w:tcW w:w="1500" w:type="dxa"/>
            <w:noWrap w:val="0"/>
            <w:vAlign w:val="center"/>
          </w:tcPr>
          <w:p w14:paraId="29027ECE">
            <w:pPr>
              <w:pStyle w:val="6"/>
              <w:spacing w:before="0" w:after="0" w:line="440" w:lineRule="exact"/>
              <w:rPr>
                <w:rFonts w:ascii="宋体" w:hAnsi="宋体" w:eastAsia="宋体" w:cs="宋体"/>
                <w:color w:val="auto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Cs w:val="24"/>
              </w:rPr>
              <w:t>说明</w:t>
            </w:r>
          </w:p>
        </w:tc>
        <w:tc>
          <w:tcPr>
            <w:tcW w:w="1050" w:type="dxa"/>
            <w:noWrap w:val="0"/>
            <w:vAlign w:val="center"/>
          </w:tcPr>
          <w:p w14:paraId="1A430B10">
            <w:pPr>
              <w:pStyle w:val="6"/>
              <w:spacing w:before="0" w:after="0" w:line="440" w:lineRule="exact"/>
              <w:rPr>
                <w:rFonts w:hint="eastAsia" w:ascii="宋体" w:hAnsi="宋体" w:eastAsia="宋体" w:cs="宋体"/>
                <w:color w:val="auto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Cs w:val="24"/>
                <w:lang w:eastAsia="zh-CN"/>
              </w:rPr>
              <w:t>得分</w:t>
            </w:r>
          </w:p>
        </w:tc>
      </w:tr>
      <w:tr w14:paraId="1FB0CF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3" w:hRule="atLeast"/>
        </w:trPr>
        <w:tc>
          <w:tcPr>
            <w:tcW w:w="705" w:type="dxa"/>
            <w:noWrap w:val="0"/>
            <w:vAlign w:val="center"/>
          </w:tcPr>
          <w:p w14:paraId="10041A03">
            <w:pPr>
              <w:spacing w:line="360" w:lineRule="exact"/>
              <w:jc w:val="center"/>
              <w:rPr>
                <w:rFonts w:ascii="宋体" w:hAnsi="宋体" w:cs="方正仿宋_GBK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cs="方正仿宋_GBK"/>
                <w:color w:val="auto"/>
                <w:sz w:val="24"/>
                <w:szCs w:val="24"/>
              </w:rPr>
              <w:t>1</w:t>
            </w:r>
          </w:p>
        </w:tc>
        <w:tc>
          <w:tcPr>
            <w:tcW w:w="1185" w:type="dxa"/>
            <w:noWrap w:val="0"/>
            <w:vAlign w:val="center"/>
          </w:tcPr>
          <w:p w14:paraId="40BD4FF2">
            <w:pPr>
              <w:spacing w:line="360" w:lineRule="exact"/>
              <w:rPr>
                <w:rFonts w:hint="eastAsia" w:ascii="宋体" w:hAnsi="宋体" w:eastAsia="宋体" w:cs="方正仿宋_GBK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方正仿宋_GBK"/>
                <w:color w:val="auto"/>
                <w:sz w:val="24"/>
                <w:szCs w:val="24"/>
                <w:lang w:val="en-US" w:eastAsia="zh-CN"/>
              </w:rPr>
              <w:t>报价部分</w:t>
            </w:r>
          </w:p>
        </w:tc>
        <w:tc>
          <w:tcPr>
            <w:tcW w:w="765" w:type="dxa"/>
            <w:noWrap w:val="0"/>
            <w:vAlign w:val="center"/>
          </w:tcPr>
          <w:p w14:paraId="10EF13D8">
            <w:pPr>
              <w:spacing w:line="360" w:lineRule="exact"/>
              <w:jc w:val="center"/>
              <w:rPr>
                <w:rFonts w:hint="default" w:ascii="宋体" w:hAnsi="宋体" w:eastAsia="宋体" w:cs="方正仿宋_GBK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方正仿宋_GBK"/>
                <w:color w:val="auto"/>
                <w:sz w:val="24"/>
                <w:szCs w:val="24"/>
                <w:lang w:val="en-US" w:eastAsia="zh-CN"/>
              </w:rPr>
              <w:t>30</w:t>
            </w:r>
          </w:p>
        </w:tc>
        <w:tc>
          <w:tcPr>
            <w:tcW w:w="5728" w:type="dxa"/>
            <w:noWrap w:val="0"/>
            <w:vAlign w:val="center"/>
          </w:tcPr>
          <w:p w14:paraId="31FCEB33">
            <w:pPr>
              <w:widowControl/>
              <w:spacing w:line="300" w:lineRule="exact"/>
              <w:outlineLvl w:val="2"/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报价部分满分为30分。价格分值按照下列公式计算：谈判报价得分=(谈判基准价／谈判报价)×30，四舍五入，保留两位小数。</w:t>
            </w:r>
          </w:p>
          <w:p w14:paraId="68F4ACBB">
            <w:pPr>
              <w:widowControl/>
              <w:spacing w:line="300" w:lineRule="exact"/>
              <w:outlineLvl w:val="2"/>
              <w:rPr>
                <w:rFonts w:ascii="宋体" w:hAnsi="宋体" w:cs="方正仿宋_GBK"/>
                <w:color w:val="auto"/>
                <w:sz w:val="24"/>
                <w:szCs w:val="24"/>
              </w:rPr>
            </w:pPr>
          </w:p>
        </w:tc>
        <w:tc>
          <w:tcPr>
            <w:tcW w:w="1500" w:type="dxa"/>
            <w:noWrap w:val="0"/>
            <w:vAlign w:val="center"/>
          </w:tcPr>
          <w:p w14:paraId="074E6E79">
            <w:pPr>
              <w:spacing w:line="360" w:lineRule="exact"/>
              <w:rPr>
                <w:rFonts w:ascii="宋体" w:hAnsi="宋体" w:cs="方正仿宋_GBK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</w:rPr>
              <w:t>高于预算价为无效报价</w: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  <w:lang w:eastAsia="zh-CN"/>
              </w:rPr>
              <w:t>。</w: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谈判基准价为有效报价的平均值。</w:t>
            </w:r>
          </w:p>
        </w:tc>
        <w:tc>
          <w:tcPr>
            <w:tcW w:w="1050" w:type="dxa"/>
            <w:noWrap w:val="0"/>
            <w:vAlign w:val="center"/>
          </w:tcPr>
          <w:p w14:paraId="05AC5FA6">
            <w:pPr>
              <w:spacing w:line="360" w:lineRule="exact"/>
              <w:rPr>
                <w:rFonts w:hint="eastAsia" w:ascii="宋体" w:hAnsi="宋体" w:cs="宋体"/>
                <w:color w:val="auto"/>
                <w:sz w:val="24"/>
                <w:szCs w:val="24"/>
              </w:rPr>
            </w:pPr>
          </w:p>
        </w:tc>
      </w:tr>
      <w:tr w14:paraId="2F8283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5" w:hRule="atLeast"/>
        </w:trPr>
        <w:tc>
          <w:tcPr>
            <w:tcW w:w="705" w:type="dxa"/>
            <w:noWrap w:val="0"/>
            <w:vAlign w:val="center"/>
          </w:tcPr>
          <w:p w14:paraId="78A09AB9">
            <w:pPr>
              <w:spacing w:line="360" w:lineRule="exact"/>
              <w:jc w:val="center"/>
              <w:rPr>
                <w:rFonts w:ascii="宋体" w:hAnsi="宋体" w:cs="方正仿宋_GBK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cs="方正仿宋_GBK"/>
                <w:color w:val="auto"/>
                <w:sz w:val="24"/>
                <w:szCs w:val="24"/>
              </w:rPr>
              <w:t>2</w:t>
            </w:r>
          </w:p>
        </w:tc>
        <w:tc>
          <w:tcPr>
            <w:tcW w:w="1185" w:type="dxa"/>
            <w:noWrap w:val="0"/>
            <w:vAlign w:val="center"/>
          </w:tcPr>
          <w:p w14:paraId="2195FF7A">
            <w:pPr>
              <w:spacing w:line="360" w:lineRule="exact"/>
              <w:jc w:val="center"/>
              <w:rPr>
                <w:rFonts w:hint="eastAsia" w:ascii="宋体" w:hAnsi="宋体" w:cs="方正仿宋_GBK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方正仿宋_GBK"/>
                <w:color w:val="auto"/>
                <w:sz w:val="24"/>
                <w:szCs w:val="24"/>
                <w:lang w:val="en-US" w:eastAsia="zh-CN"/>
              </w:rPr>
              <w:t>技术</w:t>
            </w:r>
            <w:r>
              <w:rPr>
                <w:rFonts w:hint="eastAsia" w:ascii="宋体" w:hAnsi="宋体" w:cs="方正仿宋_GBK"/>
                <w:color w:val="auto"/>
                <w:sz w:val="24"/>
                <w:szCs w:val="24"/>
              </w:rPr>
              <w:t>部分</w:t>
            </w:r>
          </w:p>
          <w:p w14:paraId="739F58FD">
            <w:pPr>
              <w:spacing w:line="360" w:lineRule="exact"/>
              <w:jc w:val="center"/>
              <w:rPr>
                <w:rFonts w:hint="eastAsia" w:ascii="宋体" w:hAnsi="宋体" w:eastAsia="宋体" w:cs="方正仿宋_GBK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方正仿宋_GBK"/>
                <w:color w:val="auto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宋体" w:hAnsi="宋体" w:eastAsia="宋体" w:cs="方正仿宋_GBK"/>
                <w:color w:val="auto"/>
                <w:sz w:val="24"/>
                <w:szCs w:val="24"/>
                <w:lang w:val="en-US" w:eastAsia="zh-CN"/>
              </w:rPr>
              <w:t>40分</w:t>
            </w:r>
            <w:r>
              <w:rPr>
                <w:rFonts w:hint="eastAsia" w:ascii="宋体" w:hAnsi="宋体" w:eastAsia="宋体" w:cs="方正仿宋_GBK"/>
                <w:color w:val="auto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765" w:type="dxa"/>
            <w:noWrap w:val="0"/>
            <w:vAlign w:val="center"/>
          </w:tcPr>
          <w:p w14:paraId="615283B8">
            <w:pPr>
              <w:spacing w:line="240" w:lineRule="exact"/>
              <w:jc w:val="center"/>
              <w:rPr>
                <w:rFonts w:hint="default" w:ascii="宋体" w:hAnsi="宋体" w:eastAsia="微软雅黑" w:cs="方正仿宋_GBK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微软雅黑" w:cs="方正仿宋_GBK"/>
                <w:color w:val="auto"/>
                <w:sz w:val="24"/>
                <w:szCs w:val="24"/>
                <w:lang w:val="en-US" w:eastAsia="zh-CN"/>
              </w:rPr>
              <w:t>服务方案</w:t>
            </w:r>
          </w:p>
        </w:tc>
        <w:tc>
          <w:tcPr>
            <w:tcW w:w="5728" w:type="dxa"/>
            <w:noWrap w:val="0"/>
            <w:vAlign w:val="center"/>
          </w:tcPr>
          <w:p w14:paraId="3BB59201">
            <w:pPr>
              <w:widowControl/>
              <w:spacing w:line="300" w:lineRule="exact"/>
              <w:outlineLvl w:val="2"/>
              <w:rPr>
                <w:rFonts w:hint="eastAsia" w:ascii="宋体" w:hAnsi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</w:rPr>
              <w:t xml:space="preserve">①作业流程、管网清洗方案、打压检漏方案（12 分）：流程完整，针对主管网分段清洗、排气检漏有针对性方案，12 分；方案基本齐全 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7</w: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</w:rPr>
              <w:t xml:space="preserve"> 分；方案简略 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</w:rPr>
              <w:t>分</w:t>
            </w:r>
          </w:p>
          <w:p w14:paraId="04C38B04">
            <w:pPr>
              <w:widowControl/>
              <w:spacing w:line="300" w:lineRule="exact"/>
              <w:outlineLvl w:val="2"/>
              <w:rPr>
                <w:rFonts w:hint="eastAsia" w:ascii="宋体" w:hAnsi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</w:rPr>
              <w:t xml:space="preserve">②现场作业保障、安全及医院专项应急预案（12 分）：包含病房区域降噪、防滑防护、污水收集处置、漏水应急处置、避免干扰医疗秩序措施，方案完善 12 分；基本满足 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7</w: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</w:rPr>
              <w:t xml:space="preserve"> 分；缺少医院专项保障预案 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</w:rPr>
              <w:t xml:space="preserve"> 分</w:t>
            </w:r>
          </w:p>
          <w:p w14:paraId="708E42B9">
            <w:pPr>
              <w:widowControl/>
              <w:spacing w:line="300" w:lineRule="exact"/>
              <w:outlineLvl w:val="2"/>
              <w:rPr>
                <w:rFonts w:hint="eastAsia" w:ascii="宋体" w:hAnsi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</w:rPr>
              <w:t xml:space="preserve">③质量管控、验收方案、质保服务方案（10 分）：包含清洗前后影像留存、打压检测记录、验收资料报送、质保期保障措施，方案完善 10 分；一般 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5</w: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</w:rPr>
              <w:t xml:space="preserve"> 分；较差 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ascii="宋体" w:hAnsi="宋体" w:cs="宋体"/>
                <w:color w:val="auto"/>
                <w:sz w:val="24"/>
                <w:szCs w:val="24"/>
              </w:rPr>
              <w:t xml:space="preserve"> 分</w:t>
            </w:r>
          </w:p>
          <w:p w14:paraId="2623DE6F">
            <w:pPr>
              <w:widowControl/>
              <w:spacing w:line="300" w:lineRule="exact"/>
              <w:outlineLvl w:val="2"/>
              <w:rPr>
                <w:rFonts w:ascii="宋体" w:hAnsi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</w:rPr>
              <w:t>④投入设备、作业人员配置（6 分）：脉冲清洗设备、打压检测设备齐全，作业人员经验充足，6 分；设备配置不足 3 分</w:t>
            </w:r>
          </w:p>
        </w:tc>
        <w:tc>
          <w:tcPr>
            <w:tcW w:w="1500" w:type="dxa"/>
            <w:noWrap w:val="0"/>
            <w:vAlign w:val="center"/>
          </w:tcPr>
          <w:p w14:paraId="5A75EC98">
            <w:pPr>
              <w:spacing w:line="360" w:lineRule="exact"/>
              <w:rPr>
                <w:rFonts w:ascii="宋体" w:hAnsi="宋体" w:cs="方正仿宋_GBK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</w:rPr>
              <w:t>采购人根据采购服务要求，对各供应商提供的书面方案进行横向比较评分。</w:t>
            </w:r>
          </w:p>
        </w:tc>
        <w:tc>
          <w:tcPr>
            <w:tcW w:w="1050" w:type="dxa"/>
            <w:noWrap w:val="0"/>
            <w:vAlign w:val="center"/>
          </w:tcPr>
          <w:p w14:paraId="33DBFA04">
            <w:pPr>
              <w:spacing w:line="360" w:lineRule="exact"/>
              <w:rPr>
                <w:rFonts w:hint="eastAsia" w:ascii="宋体" w:hAnsi="宋体" w:cs="宋体"/>
                <w:color w:val="auto"/>
                <w:sz w:val="24"/>
                <w:szCs w:val="24"/>
              </w:rPr>
            </w:pPr>
          </w:p>
        </w:tc>
      </w:tr>
      <w:tr w14:paraId="5A1DC3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20" w:hRule="atLeast"/>
        </w:trPr>
        <w:tc>
          <w:tcPr>
            <w:tcW w:w="705" w:type="dxa"/>
            <w:noWrap w:val="0"/>
            <w:vAlign w:val="center"/>
          </w:tcPr>
          <w:p w14:paraId="3A06516E">
            <w:pPr>
              <w:spacing w:line="320" w:lineRule="exact"/>
              <w:jc w:val="center"/>
              <w:rPr>
                <w:rFonts w:ascii="宋体" w:hAnsi="宋体" w:cs="方正仿宋_GBK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cs="方正仿宋_GBK"/>
                <w:color w:val="auto"/>
                <w:sz w:val="24"/>
                <w:szCs w:val="24"/>
              </w:rPr>
              <w:t>3</w:t>
            </w:r>
          </w:p>
        </w:tc>
        <w:tc>
          <w:tcPr>
            <w:tcW w:w="1185" w:type="dxa"/>
            <w:noWrap w:val="0"/>
            <w:vAlign w:val="center"/>
          </w:tcPr>
          <w:p w14:paraId="3255D7C1">
            <w:pPr>
              <w:spacing w:line="320" w:lineRule="exact"/>
              <w:jc w:val="center"/>
              <w:rPr>
                <w:rFonts w:hint="eastAsia" w:ascii="宋体" w:hAnsi="宋体" w:cs="方正仿宋_GBK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cs="方正仿宋_GBK"/>
                <w:color w:val="auto"/>
                <w:sz w:val="24"/>
                <w:szCs w:val="24"/>
              </w:rPr>
              <w:t>商务部分</w:t>
            </w:r>
          </w:p>
          <w:p w14:paraId="72790D9D">
            <w:pPr>
              <w:spacing w:line="320" w:lineRule="exact"/>
              <w:jc w:val="center"/>
              <w:rPr>
                <w:rFonts w:hint="eastAsia" w:ascii="宋体" w:hAnsi="宋体" w:eastAsia="宋体" w:cs="方正仿宋_GBK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方正仿宋_GBK"/>
                <w:color w:val="auto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宋体" w:hAnsi="宋体" w:eastAsia="宋体" w:cs="方正仿宋_GBK"/>
                <w:color w:val="auto"/>
                <w:sz w:val="24"/>
                <w:szCs w:val="24"/>
                <w:lang w:val="en-US" w:eastAsia="zh-CN"/>
              </w:rPr>
              <w:t>30分</w:t>
            </w:r>
            <w:r>
              <w:rPr>
                <w:rFonts w:hint="eastAsia" w:ascii="宋体" w:hAnsi="宋体" w:eastAsia="宋体" w:cs="方正仿宋_GBK"/>
                <w:color w:val="auto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765" w:type="dxa"/>
            <w:noWrap w:val="0"/>
            <w:vAlign w:val="center"/>
          </w:tcPr>
          <w:p w14:paraId="5D4163D5">
            <w:pPr>
              <w:widowControl/>
              <w:spacing w:line="300" w:lineRule="exact"/>
              <w:jc w:val="center"/>
              <w:outlineLvl w:val="2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商务得分</w:t>
            </w:r>
          </w:p>
        </w:tc>
        <w:tc>
          <w:tcPr>
            <w:tcW w:w="5728" w:type="dxa"/>
            <w:noWrap w:val="0"/>
            <w:vAlign w:val="center"/>
          </w:tcPr>
          <w:p w14:paraId="1D22C292">
            <w:pPr>
              <w:widowControl/>
              <w:spacing w:line="300" w:lineRule="exact"/>
              <w:outlineLvl w:val="2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①项目实施组织管理方案（15 分）：配备项目负责人、现场安全员、专职技术员，岗位职责清晰，施工排班计划适配医院非诊疗时段施工、现场管理制度完善得 15 分；人员配置齐全、方案较合理得 10 分；人员配置不全、方案简单得 5 分</w:t>
            </w:r>
          </w:p>
          <w:p w14:paraId="31CB5D72">
            <w:pPr>
              <w:widowControl/>
              <w:spacing w:line="300" w:lineRule="exact"/>
              <w:outlineLvl w:val="2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②企业信用、承诺文件（5 分）：信用查询承诺、不得转包 / 转委托承诺、安全责任承诺齐全得 5 分，缺一项扣 2 分，扣完为止</w:t>
            </w:r>
          </w:p>
          <w:p w14:paraId="547FFB2F">
            <w:pPr>
              <w:widowControl/>
              <w:spacing w:line="300" w:lineRule="exact"/>
              <w:outlineLvl w:val="2"/>
              <w:rPr>
                <w:rFonts w:ascii="宋体" w:hAnsi="宋体" w:cs="宋体"/>
                <w:color w:val="auto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③售后响应服务（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10</w:t>
            </w:r>
            <w:r>
              <w:rPr>
                <w:rFonts w:ascii="宋体" w:hAnsi="宋体" w:eastAsia="宋体" w:cs="宋体"/>
                <w:sz w:val="24"/>
                <w:szCs w:val="24"/>
              </w:rPr>
              <w:t xml:space="preserve"> 分）：质保期内故障 2 小时到场、4 小时处置得 5 分；4–8 小时到场得 3 分；8 小时以上到场得 1 分</w:t>
            </w:r>
          </w:p>
        </w:tc>
        <w:tc>
          <w:tcPr>
            <w:tcW w:w="1500" w:type="dxa"/>
            <w:noWrap w:val="0"/>
            <w:vAlign w:val="center"/>
          </w:tcPr>
          <w:p w14:paraId="0DFCA6D1">
            <w:pPr>
              <w:spacing w:line="320" w:lineRule="exact"/>
              <w:rPr>
                <w:rFonts w:ascii="宋体" w:hAnsi="宋体" w:cs="方正仿宋_GBK"/>
                <w:color w:val="auto"/>
                <w:sz w:val="24"/>
                <w:szCs w:val="24"/>
              </w:rPr>
            </w:pPr>
          </w:p>
        </w:tc>
        <w:tc>
          <w:tcPr>
            <w:tcW w:w="1050" w:type="dxa"/>
            <w:noWrap w:val="0"/>
            <w:vAlign w:val="center"/>
          </w:tcPr>
          <w:p w14:paraId="5D2CF089">
            <w:pPr>
              <w:spacing w:line="320" w:lineRule="exact"/>
              <w:rPr>
                <w:rFonts w:hint="eastAsia" w:ascii="宋体" w:hAnsi="宋体" w:cs="宋体"/>
                <w:color w:val="auto"/>
                <w:sz w:val="24"/>
                <w:szCs w:val="24"/>
              </w:rPr>
            </w:pPr>
          </w:p>
        </w:tc>
      </w:tr>
    </w:tbl>
    <w:p w14:paraId="569B186A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moder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仿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F4855EB"/>
    <w:rsid w:val="0F4855EB"/>
    <w:rsid w:val="19B2470C"/>
    <w:rsid w:val="31874273"/>
    <w:rsid w:val="5F2160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6">
    <w:name w:val="图例"/>
    <w:basedOn w:val="1"/>
    <w:qFormat/>
    <w:uiPriority w:val="0"/>
    <w:pPr>
      <w:spacing w:before="120" w:after="120" w:line="360" w:lineRule="auto"/>
      <w:jc w:val="center"/>
    </w:pPr>
    <w:rPr>
      <w:rFonts w:eastAsia="仿宋_GB2312"/>
      <w:b/>
      <w:sz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645</Words>
  <Characters>663</Characters>
  <Lines>0</Lines>
  <Paragraphs>0</Paragraphs>
  <TotalTime>0</TotalTime>
  <ScaleCrop>false</ScaleCrop>
  <LinksUpToDate>false</LinksUpToDate>
  <CharactersWithSpaces>712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2026-10-26T08:32:00Z</dcterms:created>
  <dc:creator>Potatoྀི</dc:creator>
  <cp:lastModifiedBy>Potatoྀི</cp:lastModifiedBy>
  <dcterms:modified xsi:type="dcterms:W3CDTF">2026-10-27T09:21:36Z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73454B9ACB6148E48846FADCC2B03B85_11</vt:lpwstr>
  </property>
  <property fmtid="{D5CDD505-2E9C-101B-9397-08002B2CF9AE}" pid="4" name="KSOTemplateDocerSaveRecord">
    <vt:lpwstr>eyJoZGlkIjoiYmJiZDRiMGRhY2JlNGM3YjlkMTBhZTkxM2M0NDNjMzAiLCJ1c2VySWQiOiIxMTU1MTY1NjM5In0=</vt:lpwstr>
  </property>
</Properties>
</file>