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075739">
      <w:pPr>
        <w:rPr>
          <w:rFonts w:hint="eastAsia" w:ascii="黑体" w:hAnsi="黑体" w:eastAsia="黑体" w:cs="黑体"/>
          <w:b w:val="0"/>
          <w:bCs w:val="0"/>
          <w:spacing w:val="10"/>
          <w:kern w:val="2"/>
          <w:sz w:val="32"/>
          <w:szCs w:val="32"/>
          <w:lang w:val="en-US" w:eastAsia="zh-CN" w:bidi="ar"/>
        </w:rPr>
      </w:pPr>
      <w:bookmarkStart w:id="0" w:name="_GoBack"/>
      <w:r>
        <w:rPr>
          <w:rFonts w:hint="eastAsia" w:ascii="黑体" w:hAnsi="黑体" w:eastAsia="黑体" w:cs="黑体"/>
          <w:b w:val="0"/>
          <w:bCs w:val="0"/>
          <w:color w:val="auto"/>
          <w:spacing w:val="10"/>
          <w:kern w:val="2"/>
          <w:sz w:val="32"/>
          <w:szCs w:val="32"/>
          <w:lang w:val="en-US" w:eastAsia="zh-CN" w:bidi="ar"/>
        </w:rPr>
        <w:t>附件</w:t>
      </w:r>
    </w:p>
    <w:bookmarkEnd w:id="0"/>
    <w:p w14:paraId="75248290">
      <w:pPr>
        <w:keepNext w:val="0"/>
        <w:keepLines w:val="0"/>
        <w:widowControl w:val="0"/>
        <w:adjustRightInd/>
        <w:spacing w:line="700" w:lineRule="exact"/>
        <w:jc w:val="center"/>
        <w:textAlignment w:val="auto"/>
        <w:rPr>
          <w:rFonts w:hint="eastAsia" w:ascii="宋体" w:hAnsi="宋体" w:eastAsia="宋体" w:cs="宋体"/>
          <w:b/>
          <w:bCs/>
          <w:color w:val="000000"/>
          <w:spacing w:val="0"/>
          <w:kern w:val="0"/>
          <w:sz w:val="43"/>
          <w:szCs w:val="43"/>
          <w:lang w:val="en-US" w:eastAsia="zh-CN" w:bidi="ar"/>
        </w:rPr>
      </w:pPr>
      <w:r>
        <w:rPr>
          <w:rFonts w:hint="eastAsia" w:ascii="宋体" w:hAnsi="宋体" w:eastAsia="宋体" w:cs="宋体"/>
          <w:b/>
          <w:bCs/>
          <w:color w:val="000000"/>
          <w:spacing w:val="0"/>
          <w:kern w:val="0"/>
          <w:sz w:val="43"/>
          <w:szCs w:val="43"/>
          <w:lang w:val="en-US" w:eastAsia="zh-CN" w:bidi="ar"/>
        </w:rPr>
        <w:t>报 价 单</w:t>
      </w:r>
    </w:p>
    <w:p w14:paraId="583500C2">
      <w:pPr>
        <w:widowControl/>
        <w:tabs>
          <w:tab w:val="left" w:pos="900"/>
          <w:tab w:val="left" w:pos="1100"/>
        </w:tabs>
        <w:spacing w:line="700" w:lineRule="exact"/>
        <w:ind w:left="0" w:hanging="140" w:hangingChars="50"/>
        <w:jc w:val="center"/>
        <w:rPr>
          <w:rFonts w:ascii="仿宋_GB2312" w:hAnsi="宋体" w:eastAsia="仿宋_GB2312"/>
          <w:sz w:val="28"/>
          <w:szCs w:val="28"/>
          <w:highlight w:val="none"/>
        </w:rPr>
      </w:pPr>
    </w:p>
    <w:p w14:paraId="205A371A">
      <w:pPr>
        <w:snapToGrid w:val="0"/>
        <w:spacing w:line="360" w:lineRule="auto"/>
        <w:rPr>
          <w:rFonts w:hint="default" w:ascii="仿宋_GB2312" w:hAnsi="仿宋_GB2312" w:eastAsia="仿宋_GB2312" w:cs="仿宋_GB2312"/>
          <w:bCs/>
          <w:color w:val="000000"/>
          <w:kern w:val="10"/>
          <w:sz w:val="32"/>
          <w:szCs w:val="32"/>
          <w:lang w:val="en-US" w:eastAsia="zh-CN"/>
        </w:rPr>
      </w:pPr>
      <w:r>
        <w:rPr>
          <w:rFonts w:hint="eastAsia" w:ascii="仿宋_GB2312" w:hAnsi="仿宋_GB2312" w:eastAsia="仿宋_GB2312" w:cs="仿宋_GB2312"/>
          <w:bCs/>
          <w:color w:val="000000"/>
          <w:kern w:val="10"/>
          <w:sz w:val="32"/>
          <w:szCs w:val="32"/>
        </w:rPr>
        <w:t>项目</w:t>
      </w:r>
      <w:r>
        <w:rPr>
          <w:rFonts w:hint="eastAsia" w:ascii="仿宋_GB2312" w:hAnsi="仿宋_GB2312" w:eastAsia="仿宋_GB2312" w:cs="仿宋_GB2312"/>
          <w:bCs/>
          <w:color w:val="000000"/>
          <w:kern w:val="10"/>
          <w:sz w:val="32"/>
          <w:szCs w:val="32"/>
          <w:lang w:val="en-US" w:eastAsia="zh-CN"/>
        </w:rPr>
        <w:t>名称：海口办公场地甲醛治理</w:t>
      </w:r>
    </w:p>
    <w:p w14:paraId="03EBAE5A">
      <w:pPr>
        <w:snapToGrid w:val="0"/>
        <w:spacing w:line="360" w:lineRule="auto"/>
        <w:rPr>
          <w:rFonts w:hint="eastAsia" w:ascii="仿宋_GB2312" w:hAnsi="仿宋_GB2312" w:eastAsia="仿宋_GB2312" w:cs="仿宋_GB2312"/>
          <w:bCs/>
          <w:color w:val="000000"/>
          <w:kern w:val="10"/>
          <w:sz w:val="32"/>
          <w:szCs w:val="32"/>
          <w:lang w:val="en-US" w:eastAsia="zh-CN"/>
        </w:rPr>
      </w:pPr>
      <w:r>
        <w:rPr>
          <w:rFonts w:hint="eastAsia" w:ascii="仿宋_GB2312" w:hAnsi="仿宋_GB2312" w:eastAsia="仿宋_GB2312" w:cs="仿宋_GB2312"/>
          <w:bCs/>
          <w:color w:val="000000"/>
          <w:kern w:val="10"/>
          <w:sz w:val="32"/>
          <w:szCs w:val="32"/>
        </w:rPr>
        <w:t>采购人：</w:t>
      </w:r>
      <w:r>
        <w:rPr>
          <w:rFonts w:hint="eastAsia" w:ascii="仿宋_GB2312" w:hAnsi="仿宋_GB2312" w:eastAsia="仿宋_GB2312" w:cs="仿宋_GB2312"/>
          <w:bCs/>
          <w:color w:val="000000"/>
          <w:kern w:val="10"/>
          <w:sz w:val="32"/>
          <w:szCs w:val="32"/>
          <w:lang w:val="en-US" w:eastAsia="zh-CN"/>
        </w:rPr>
        <w:t>海南股权交易中心有限责任公司</w:t>
      </w:r>
    </w:p>
    <w:tbl>
      <w:tblPr>
        <w:tblStyle w:val="3"/>
        <w:tblpPr w:leftFromText="180" w:rightFromText="180" w:vertAnchor="text" w:horzAnchor="page" w:tblpX="661" w:tblpY="1274"/>
        <w:tblOverlap w:val="never"/>
        <w:tblW w:w="10346" w:type="dxa"/>
        <w:tblInd w:w="0" w:type="dxa"/>
        <w:tblLayout w:type="fixed"/>
        <w:tblCellMar>
          <w:top w:w="0" w:type="dxa"/>
          <w:left w:w="108" w:type="dxa"/>
          <w:bottom w:w="0" w:type="dxa"/>
          <w:right w:w="108" w:type="dxa"/>
        </w:tblCellMar>
      </w:tblPr>
      <w:tblGrid>
        <w:gridCol w:w="772"/>
        <w:gridCol w:w="802"/>
        <w:gridCol w:w="1277"/>
        <w:gridCol w:w="911"/>
        <w:gridCol w:w="1040"/>
        <w:gridCol w:w="960"/>
        <w:gridCol w:w="921"/>
        <w:gridCol w:w="901"/>
        <w:gridCol w:w="881"/>
        <w:gridCol w:w="842"/>
        <w:gridCol w:w="1039"/>
      </w:tblGrid>
      <w:tr w14:paraId="566437D9">
        <w:tblPrEx>
          <w:tblCellMar>
            <w:top w:w="0" w:type="dxa"/>
            <w:left w:w="108" w:type="dxa"/>
            <w:bottom w:w="0" w:type="dxa"/>
            <w:right w:w="108" w:type="dxa"/>
          </w:tblCellMar>
        </w:tblPrEx>
        <w:trPr>
          <w:trHeight w:val="594" w:hRule="atLeast"/>
        </w:trPr>
        <w:tc>
          <w:tcPr>
            <w:tcW w:w="772" w:type="dxa"/>
            <w:tcBorders>
              <w:top w:val="single" w:color="auto" w:sz="8" w:space="0"/>
              <w:left w:val="single" w:color="auto" w:sz="8" w:space="0"/>
              <w:bottom w:val="single" w:color="auto" w:sz="8" w:space="0"/>
              <w:right w:val="single" w:color="auto" w:sz="8" w:space="0"/>
            </w:tcBorders>
            <w:vAlign w:val="center"/>
          </w:tcPr>
          <w:p w14:paraId="3B355E6A">
            <w:pPr>
              <w:keepNext w:val="0"/>
              <w:keepLines w:val="0"/>
              <w:widowControl/>
              <w:suppressLineNumbers w:val="0"/>
              <w:spacing w:before="0" w:beforeAutospacing="0" w:after="0" w:afterAutospacing="0"/>
              <w:ind w:left="0" w:right="0"/>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项目</w:t>
            </w:r>
          </w:p>
          <w:p w14:paraId="7DDB197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名称*-</w:t>
            </w:r>
          </w:p>
        </w:tc>
        <w:tc>
          <w:tcPr>
            <w:tcW w:w="9574" w:type="dxa"/>
            <w:gridSpan w:val="10"/>
            <w:tcBorders>
              <w:top w:val="single" w:color="auto" w:sz="8" w:space="0"/>
              <w:left w:val="nil"/>
              <w:bottom w:val="single" w:color="auto" w:sz="8" w:space="0"/>
              <w:right w:val="single" w:color="000000" w:sz="8" w:space="0"/>
            </w:tcBorders>
            <w:vAlign w:val="center"/>
          </w:tcPr>
          <w:p w14:paraId="6A09D9C1">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r>
              <w:rPr>
                <w:rFonts w:hint="eastAsia" w:ascii="宋体" w:hAnsi="宋体" w:cs="宋体"/>
                <w:b/>
                <w:bCs/>
                <w:kern w:val="0"/>
                <w:sz w:val="21"/>
                <w:szCs w:val="21"/>
                <w:lang w:eastAsia="zh-CN"/>
              </w:rPr>
              <w:t>除醛</w:t>
            </w:r>
            <w:r>
              <w:rPr>
                <w:rFonts w:hint="default" w:ascii="宋体" w:hAnsi="宋体" w:cs="宋体"/>
                <w:b/>
                <w:bCs/>
                <w:kern w:val="0"/>
                <w:sz w:val="21"/>
                <w:szCs w:val="21"/>
              </w:rPr>
              <w:t>治理</w:t>
            </w:r>
            <w:r>
              <w:rPr>
                <w:rFonts w:hint="eastAsia" w:ascii="宋体" w:hAnsi="宋体" w:cs="宋体"/>
                <w:b/>
                <w:bCs/>
                <w:kern w:val="0"/>
                <w:sz w:val="21"/>
                <w:szCs w:val="21"/>
              </w:rPr>
              <w:t>（含</w:t>
            </w:r>
            <w:r>
              <w:rPr>
                <w:rFonts w:hint="default" w:ascii="宋体" w:hAnsi="宋体" w:cs="宋体"/>
                <w:b/>
                <w:bCs/>
                <w:kern w:val="0"/>
                <w:sz w:val="21"/>
                <w:szCs w:val="21"/>
              </w:rPr>
              <w:t>除装修异味及除甲醛</w:t>
            </w:r>
            <w:r>
              <w:rPr>
                <w:rFonts w:hint="eastAsia" w:ascii="宋体" w:hAnsi="宋体" w:cs="宋体"/>
                <w:b/>
                <w:bCs/>
                <w:kern w:val="0"/>
                <w:sz w:val="21"/>
                <w:szCs w:val="21"/>
              </w:rPr>
              <w:t>、</w:t>
            </w:r>
            <w:r>
              <w:rPr>
                <w:rFonts w:hint="default" w:ascii="宋体" w:hAnsi="宋体" w:cs="宋体"/>
                <w:b/>
                <w:bCs/>
                <w:kern w:val="0"/>
                <w:sz w:val="21"/>
                <w:szCs w:val="21"/>
              </w:rPr>
              <w:t>苯系物及</w:t>
            </w:r>
            <w:r>
              <w:rPr>
                <w:rFonts w:hint="eastAsia" w:ascii="宋体" w:hAnsi="宋体" w:cs="宋体"/>
                <w:b/>
                <w:bCs/>
                <w:kern w:val="0"/>
                <w:sz w:val="21"/>
                <w:szCs w:val="21"/>
              </w:rPr>
              <w:t>TVOC）</w:t>
            </w:r>
          </w:p>
        </w:tc>
      </w:tr>
      <w:tr w14:paraId="21340119">
        <w:tblPrEx>
          <w:tblCellMar>
            <w:top w:w="0" w:type="dxa"/>
            <w:left w:w="108" w:type="dxa"/>
            <w:bottom w:w="0" w:type="dxa"/>
            <w:right w:w="108" w:type="dxa"/>
          </w:tblCellMar>
        </w:tblPrEx>
        <w:trPr>
          <w:trHeight w:val="321" w:hRule="atLeast"/>
        </w:trPr>
        <w:tc>
          <w:tcPr>
            <w:tcW w:w="772" w:type="dxa"/>
            <w:vMerge w:val="restart"/>
            <w:tcBorders>
              <w:top w:val="nil"/>
              <w:left w:val="single" w:color="auto" w:sz="8" w:space="0"/>
              <w:right w:val="single" w:color="auto" w:sz="8" w:space="0"/>
            </w:tcBorders>
            <w:vAlign w:val="center"/>
          </w:tcPr>
          <w:p w14:paraId="34C51DE6">
            <w:pPr>
              <w:keepNext w:val="0"/>
              <w:keepLines w:val="0"/>
              <w:widowControl/>
              <w:suppressLineNumbers w:val="0"/>
              <w:spacing w:before="0" w:beforeAutospacing="0" w:after="0" w:afterAutospacing="0"/>
              <w:ind w:left="0" w:right="0"/>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本期</w:t>
            </w:r>
          </w:p>
          <w:p w14:paraId="3F807020">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治理</w:t>
            </w:r>
          </w:p>
        </w:tc>
        <w:tc>
          <w:tcPr>
            <w:tcW w:w="802" w:type="dxa"/>
            <w:tcBorders>
              <w:top w:val="nil"/>
              <w:left w:val="nil"/>
              <w:bottom w:val="single" w:color="auto" w:sz="4" w:space="0"/>
              <w:right w:val="single" w:color="auto" w:sz="8" w:space="0"/>
            </w:tcBorders>
            <w:vAlign w:val="center"/>
          </w:tcPr>
          <w:p w14:paraId="71393DA3">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序号</w:t>
            </w:r>
          </w:p>
        </w:tc>
        <w:tc>
          <w:tcPr>
            <w:tcW w:w="1277" w:type="dxa"/>
            <w:tcBorders>
              <w:top w:val="nil"/>
              <w:left w:val="nil"/>
              <w:bottom w:val="single" w:color="auto" w:sz="4" w:space="0"/>
              <w:right w:val="single" w:color="auto" w:sz="8" w:space="0"/>
            </w:tcBorders>
            <w:vAlign w:val="center"/>
          </w:tcPr>
          <w:p w14:paraId="76B9A3F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工序名称</w:t>
            </w:r>
          </w:p>
        </w:tc>
        <w:tc>
          <w:tcPr>
            <w:tcW w:w="911" w:type="dxa"/>
            <w:tcBorders>
              <w:top w:val="nil"/>
              <w:left w:val="nil"/>
              <w:bottom w:val="single" w:color="auto" w:sz="4" w:space="0"/>
              <w:right w:val="single" w:color="auto" w:sz="8" w:space="0"/>
            </w:tcBorders>
            <w:vAlign w:val="center"/>
          </w:tcPr>
          <w:p w14:paraId="0450E0A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平方</w:t>
            </w:r>
          </w:p>
        </w:tc>
        <w:tc>
          <w:tcPr>
            <w:tcW w:w="1040" w:type="dxa"/>
            <w:tcBorders>
              <w:top w:val="nil"/>
              <w:left w:val="nil"/>
              <w:bottom w:val="single" w:color="auto" w:sz="4" w:space="0"/>
              <w:right w:val="single" w:color="auto" w:sz="8" w:space="0"/>
            </w:tcBorders>
            <w:vAlign w:val="center"/>
          </w:tcPr>
          <w:p w14:paraId="303E8A3E">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数量</w:t>
            </w:r>
          </w:p>
        </w:tc>
        <w:tc>
          <w:tcPr>
            <w:tcW w:w="960" w:type="dxa"/>
            <w:tcBorders>
              <w:top w:val="nil"/>
              <w:left w:val="nil"/>
              <w:bottom w:val="single" w:color="auto" w:sz="4" w:space="0"/>
              <w:right w:val="single" w:color="auto" w:sz="8" w:space="0"/>
            </w:tcBorders>
            <w:vAlign w:val="center"/>
          </w:tcPr>
          <w:p w14:paraId="1BCE85B4">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单位</w:t>
            </w:r>
          </w:p>
        </w:tc>
        <w:tc>
          <w:tcPr>
            <w:tcW w:w="921" w:type="dxa"/>
            <w:tcBorders>
              <w:top w:val="nil"/>
              <w:left w:val="nil"/>
              <w:bottom w:val="single" w:color="auto" w:sz="4" w:space="0"/>
              <w:right w:val="single" w:color="auto" w:sz="8" w:space="0"/>
            </w:tcBorders>
            <w:vAlign w:val="center"/>
          </w:tcPr>
          <w:p w14:paraId="23A82A43">
            <w:pPr>
              <w:keepNext w:val="0"/>
              <w:keepLines w:val="0"/>
              <w:widowControl/>
              <w:suppressLineNumbers w:val="0"/>
              <w:spacing w:before="0" w:beforeAutospacing="0" w:after="0" w:afterAutospacing="0"/>
              <w:ind w:left="0" w:right="0"/>
              <w:jc w:val="center"/>
              <w:rPr>
                <w:rFonts w:hint="eastAsia" w:ascii="宋体" w:hAnsi="宋体" w:cs="宋体"/>
                <w:b/>
                <w:bCs/>
                <w:color w:val="000000"/>
                <w:kern w:val="0"/>
                <w:sz w:val="21"/>
                <w:szCs w:val="21"/>
              </w:rPr>
            </w:pPr>
            <w:r>
              <w:rPr>
                <w:rFonts w:hint="eastAsia" w:ascii="宋体" w:hAnsi="宋体" w:cs="宋体"/>
                <w:b/>
                <w:bCs/>
                <w:color w:val="000000"/>
                <w:kern w:val="0"/>
                <w:sz w:val="21"/>
                <w:szCs w:val="21"/>
              </w:rPr>
              <w:t>单价</w:t>
            </w:r>
          </w:p>
          <w:p w14:paraId="018FDA1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(元)</w:t>
            </w:r>
          </w:p>
        </w:tc>
        <w:tc>
          <w:tcPr>
            <w:tcW w:w="901" w:type="dxa"/>
            <w:tcBorders>
              <w:top w:val="nil"/>
              <w:left w:val="nil"/>
              <w:bottom w:val="single" w:color="auto" w:sz="4" w:space="0"/>
              <w:right w:val="single" w:color="auto" w:sz="8" w:space="0"/>
            </w:tcBorders>
            <w:vAlign w:val="center"/>
          </w:tcPr>
          <w:p w14:paraId="5BA267AA">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金额(元)</w:t>
            </w:r>
          </w:p>
        </w:tc>
        <w:tc>
          <w:tcPr>
            <w:tcW w:w="881" w:type="dxa"/>
            <w:tcBorders>
              <w:top w:val="nil"/>
              <w:left w:val="nil"/>
              <w:bottom w:val="single" w:color="auto" w:sz="4" w:space="0"/>
              <w:right w:val="single" w:color="auto" w:sz="8" w:space="0"/>
            </w:tcBorders>
            <w:vAlign w:val="center"/>
          </w:tcPr>
          <w:p w14:paraId="3753768E">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折后额</w:t>
            </w:r>
          </w:p>
        </w:tc>
        <w:tc>
          <w:tcPr>
            <w:tcW w:w="842" w:type="dxa"/>
            <w:tcBorders>
              <w:top w:val="nil"/>
              <w:left w:val="nil"/>
              <w:bottom w:val="single" w:color="auto" w:sz="4" w:space="0"/>
              <w:right w:val="single" w:color="auto" w:sz="8" w:space="0"/>
            </w:tcBorders>
            <w:vAlign w:val="center"/>
          </w:tcPr>
          <w:p w14:paraId="20632C48">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总额(元)</w:t>
            </w:r>
          </w:p>
        </w:tc>
        <w:tc>
          <w:tcPr>
            <w:tcW w:w="1039" w:type="dxa"/>
            <w:tcBorders>
              <w:top w:val="nil"/>
              <w:left w:val="nil"/>
              <w:bottom w:val="single" w:color="auto" w:sz="4" w:space="0"/>
              <w:right w:val="single" w:color="auto" w:sz="8" w:space="0"/>
            </w:tcBorders>
            <w:vAlign w:val="center"/>
          </w:tcPr>
          <w:p w14:paraId="52DFC7C5">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r>
              <w:rPr>
                <w:rFonts w:hint="eastAsia" w:ascii="宋体" w:hAnsi="宋体" w:cs="宋体"/>
                <w:b/>
                <w:bCs/>
                <w:color w:val="000000"/>
                <w:kern w:val="0"/>
                <w:sz w:val="21"/>
                <w:szCs w:val="21"/>
              </w:rPr>
              <w:t>备注</w:t>
            </w:r>
          </w:p>
        </w:tc>
      </w:tr>
      <w:tr w14:paraId="259E6DBC">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5023C150">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61340B5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default" w:ascii="宋体" w:hAnsi="宋体" w:cs="宋体"/>
                <w:color w:val="000000"/>
                <w:kern w:val="0"/>
                <w:sz w:val="21"/>
                <w:szCs w:val="21"/>
              </w:rPr>
              <w:t>1</w:t>
            </w:r>
          </w:p>
        </w:tc>
        <w:tc>
          <w:tcPr>
            <w:tcW w:w="1277" w:type="dxa"/>
            <w:tcBorders>
              <w:top w:val="single" w:color="auto" w:sz="4" w:space="0"/>
              <w:left w:val="single" w:color="auto" w:sz="4" w:space="0"/>
              <w:bottom w:val="single" w:color="auto" w:sz="4" w:space="0"/>
              <w:right w:val="single" w:color="auto" w:sz="4" w:space="0"/>
            </w:tcBorders>
            <w:vAlign w:val="center"/>
          </w:tcPr>
          <w:p w14:paraId="5569637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default" w:ascii="宋体" w:hAnsi="宋体" w:cs="宋体"/>
                <w:color w:val="000000"/>
                <w:kern w:val="0"/>
                <w:sz w:val="21"/>
                <w:szCs w:val="21"/>
              </w:rPr>
              <w:t>光触媒喷涂</w:t>
            </w:r>
            <w:r>
              <w:rPr>
                <w:rFonts w:hint="eastAsia" w:ascii="宋体" w:hAnsi="宋体" w:cs="宋体"/>
                <w:color w:val="000000"/>
                <w:kern w:val="0"/>
                <w:sz w:val="21"/>
                <w:szCs w:val="21"/>
              </w:rPr>
              <w:t>（进口）</w:t>
            </w:r>
          </w:p>
        </w:tc>
        <w:tc>
          <w:tcPr>
            <w:tcW w:w="911" w:type="dxa"/>
            <w:vMerge w:val="restart"/>
            <w:tcBorders>
              <w:top w:val="single" w:color="auto" w:sz="4" w:space="0"/>
              <w:left w:val="single" w:color="auto" w:sz="4" w:space="0"/>
              <w:right w:val="single" w:color="auto" w:sz="4" w:space="0"/>
            </w:tcBorders>
            <w:vAlign w:val="center"/>
          </w:tcPr>
          <w:p w14:paraId="53DD8002">
            <w:pPr>
              <w:keepNext w:val="0"/>
              <w:keepLines w:val="0"/>
              <w:widowControl/>
              <w:suppressLineNumbers w:val="0"/>
              <w:spacing w:before="0" w:beforeAutospacing="0" w:after="0" w:afterAutospacing="0"/>
              <w:ind w:left="0" w:right="0"/>
              <w:jc w:val="center"/>
              <w:rPr>
                <w:rFonts w:hint="default" w:ascii="宋体" w:hAnsi="宋体" w:eastAsia="宋体" w:cs="宋体"/>
                <w:kern w:val="0"/>
                <w:sz w:val="21"/>
                <w:szCs w:val="21"/>
                <w:lang w:val="en-US" w:eastAsia="zh-CN"/>
              </w:rPr>
            </w:pPr>
            <w:r>
              <w:rPr>
                <w:rFonts w:hint="eastAsia" w:ascii="宋体" w:hAnsi="宋体" w:cs="宋体"/>
                <w:kern w:val="0"/>
                <w:sz w:val="21"/>
                <w:szCs w:val="21"/>
                <w:lang w:val="en-US" w:eastAsia="zh-CN"/>
              </w:rPr>
              <w:t>728</w:t>
            </w:r>
          </w:p>
        </w:tc>
        <w:tc>
          <w:tcPr>
            <w:tcW w:w="1040" w:type="dxa"/>
            <w:tcBorders>
              <w:top w:val="single" w:color="auto" w:sz="4" w:space="0"/>
              <w:left w:val="single" w:color="auto" w:sz="4" w:space="0"/>
              <w:bottom w:val="single" w:color="auto" w:sz="4" w:space="0"/>
              <w:right w:val="single" w:color="auto" w:sz="4" w:space="0"/>
            </w:tcBorders>
            <w:vAlign w:val="center"/>
          </w:tcPr>
          <w:p w14:paraId="1ED46E6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960" w:type="dxa"/>
            <w:tcBorders>
              <w:top w:val="single" w:color="auto" w:sz="4" w:space="0"/>
              <w:left w:val="single" w:color="auto" w:sz="4" w:space="0"/>
              <w:bottom w:val="single" w:color="auto" w:sz="4" w:space="0"/>
              <w:right w:val="single" w:color="auto" w:sz="4" w:space="0"/>
            </w:tcBorders>
            <w:vAlign w:val="center"/>
          </w:tcPr>
          <w:p w14:paraId="619C27E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921" w:type="dxa"/>
            <w:vMerge w:val="restart"/>
            <w:tcBorders>
              <w:top w:val="single" w:color="auto" w:sz="4" w:space="0"/>
              <w:left w:val="single" w:color="auto" w:sz="4" w:space="0"/>
              <w:right w:val="single" w:color="auto" w:sz="4" w:space="0"/>
            </w:tcBorders>
            <w:vAlign w:val="center"/>
          </w:tcPr>
          <w:p w14:paraId="51DFBA66">
            <w:pPr>
              <w:keepNext w:val="0"/>
              <w:keepLines w:val="0"/>
              <w:widowControl/>
              <w:suppressLineNumbers w:val="0"/>
              <w:spacing w:before="0" w:beforeAutospacing="0" w:after="0" w:afterAutospacing="0"/>
              <w:ind w:left="0" w:right="0"/>
              <w:jc w:val="center"/>
              <w:rPr>
                <w:rFonts w:hint="default" w:ascii="宋体" w:hAnsi="宋体" w:eastAsia="宋体" w:cs="宋体"/>
                <w:b/>
                <w:color w:val="000000"/>
                <w:kern w:val="0"/>
                <w:sz w:val="21"/>
                <w:szCs w:val="21"/>
                <w:lang w:val="en-US" w:eastAsia="zh-CN"/>
              </w:rPr>
            </w:pPr>
          </w:p>
        </w:tc>
        <w:tc>
          <w:tcPr>
            <w:tcW w:w="901" w:type="dxa"/>
            <w:tcBorders>
              <w:top w:val="single" w:color="auto" w:sz="4" w:space="0"/>
              <w:left w:val="single" w:color="auto" w:sz="4" w:space="0"/>
              <w:bottom w:val="single" w:color="auto" w:sz="4" w:space="0"/>
              <w:right w:val="single" w:color="auto" w:sz="4" w:space="0"/>
            </w:tcBorders>
            <w:vAlign w:val="center"/>
          </w:tcPr>
          <w:p w14:paraId="6468204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881" w:type="dxa"/>
            <w:vMerge w:val="restart"/>
            <w:tcBorders>
              <w:top w:val="single" w:color="auto" w:sz="4" w:space="0"/>
              <w:left w:val="single" w:color="auto" w:sz="4" w:space="0"/>
              <w:right w:val="single" w:color="auto" w:sz="4" w:space="0"/>
            </w:tcBorders>
            <w:vAlign w:val="center"/>
          </w:tcPr>
          <w:p w14:paraId="28557191">
            <w:pPr>
              <w:keepNext w:val="0"/>
              <w:keepLines w:val="0"/>
              <w:widowControl/>
              <w:suppressLineNumbers w:val="0"/>
              <w:spacing w:before="0" w:beforeAutospacing="0" w:after="0" w:afterAutospacing="0"/>
              <w:ind w:left="0" w:right="0"/>
              <w:jc w:val="center"/>
              <w:rPr>
                <w:rFonts w:hint="default" w:ascii="宋体" w:hAnsi="宋体" w:eastAsia="宋体" w:cs="宋体"/>
                <w:b/>
                <w:kern w:val="0"/>
                <w:sz w:val="21"/>
                <w:szCs w:val="21"/>
                <w:lang w:val="en-US" w:eastAsia="zh-CN"/>
              </w:rPr>
            </w:pPr>
          </w:p>
        </w:tc>
        <w:tc>
          <w:tcPr>
            <w:tcW w:w="842" w:type="dxa"/>
            <w:vMerge w:val="restart"/>
            <w:tcBorders>
              <w:top w:val="single" w:color="auto" w:sz="4" w:space="0"/>
              <w:left w:val="single" w:color="auto" w:sz="4" w:space="0"/>
              <w:right w:val="single" w:color="auto" w:sz="4" w:space="0"/>
            </w:tcBorders>
            <w:vAlign w:val="center"/>
          </w:tcPr>
          <w:p w14:paraId="0D2A795F">
            <w:pPr>
              <w:keepNext w:val="0"/>
              <w:keepLines w:val="0"/>
              <w:widowControl/>
              <w:suppressLineNumbers w:val="0"/>
              <w:spacing w:before="0" w:beforeAutospacing="0" w:after="0" w:afterAutospacing="0"/>
              <w:ind w:left="0" w:right="0"/>
              <w:jc w:val="center"/>
              <w:rPr>
                <w:rFonts w:hint="default" w:ascii="宋体" w:hAnsi="宋体" w:eastAsia="宋体" w:cs="宋体"/>
                <w:b/>
                <w:kern w:val="0"/>
                <w:sz w:val="21"/>
                <w:szCs w:val="21"/>
                <w:lang w:val="en-US" w:eastAsia="zh-CN"/>
              </w:rPr>
            </w:pPr>
          </w:p>
        </w:tc>
        <w:tc>
          <w:tcPr>
            <w:tcW w:w="1039" w:type="dxa"/>
            <w:vMerge w:val="restart"/>
            <w:tcBorders>
              <w:top w:val="single" w:color="auto" w:sz="4" w:space="0"/>
              <w:left w:val="single" w:color="auto" w:sz="4" w:space="0"/>
              <w:right w:val="single" w:color="auto" w:sz="4" w:space="0"/>
            </w:tcBorders>
            <w:vAlign w:val="center"/>
          </w:tcPr>
          <w:p w14:paraId="3B39BC2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5CEB16E1">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1362C6C9">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51B1D59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2</w:t>
            </w:r>
          </w:p>
        </w:tc>
        <w:tc>
          <w:tcPr>
            <w:tcW w:w="1277" w:type="dxa"/>
            <w:tcBorders>
              <w:top w:val="single" w:color="auto" w:sz="4" w:space="0"/>
              <w:left w:val="single" w:color="auto" w:sz="4" w:space="0"/>
              <w:bottom w:val="single" w:color="auto" w:sz="4" w:space="0"/>
              <w:right w:val="single" w:color="auto" w:sz="4" w:space="0"/>
            </w:tcBorders>
            <w:vAlign w:val="center"/>
          </w:tcPr>
          <w:p w14:paraId="635544F0">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1"/>
                <w:szCs w:val="21"/>
              </w:rPr>
            </w:pPr>
            <w:r>
              <w:rPr>
                <w:rFonts w:hint="eastAsia" w:ascii="宋体" w:hAnsi="宋体" w:cs="宋体"/>
                <w:color w:val="000000"/>
                <w:kern w:val="0"/>
                <w:sz w:val="21"/>
                <w:szCs w:val="21"/>
              </w:rPr>
              <w:t>板材降解</w:t>
            </w:r>
          </w:p>
          <w:p w14:paraId="75426DC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（国产）</w:t>
            </w:r>
          </w:p>
        </w:tc>
        <w:tc>
          <w:tcPr>
            <w:tcW w:w="911" w:type="dxa"/>
            <w:vMerge w:val="continue"/>
            <w:tcBorders>
              <w:left w:val="single" w:color="auto" w:sz="4" w:space="0"/>
              <w:right w:val="single" w:color="auto" w:sz="4" w:space="0"/>
            </w:tcBorders>
            <w:vAlign w:val="center"/>
          </w:tcPr>
          <w:p w14:paraId="49A6B45F">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40" w:type="dxa"/>
            <w:tcBorders>
              <w:top w:val="single" w:color="auto" w:sz="4" w:space="0"/>
              <w:left w:val="single" w:color="auto" w:sz="4" w:space="0"/>
              <w:bottom w:val="single" w:color="auto" w:sz="4" w:space="0"/>
              <w:right w:val="single" w:color="auto" w:sz="4" w:space="0"/>
            </w:tcBorders>
            <w:vAlign w:val="center"/>
          </w:tcPr>
          <w:p w14:paraId="42EE23D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1D9C5FB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平方米</w:t>
            </w:r>
          </w:p>
        </w:tc>
        <w:tc>
          <w:tcPr>
            <w:tcW w:w="921" w:type="dxa"/>
            <w:vMerge w:val="continue"/>
            <w:tcBorders>
              <w:left w:val="single" w:color="auto" w:sz="4" w:space="0"/>
              <w:right w:val="single" w:color="auto" w:sz="4" w:space="0"/>
            </w:tcBorders>
            <w:vAlign w:val="center"/>
          </w:tcPr>
          <w:p w14:paraId="308232B2">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13B670B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default" w:ascii="宋体" w:hAnsi="宋体" w:cs="宋体"/>
                <w:color w:val="000000"/>
                <w:kern w:val="0"/>
                <w:sz w:val="21"/>
                <w:szCs w:val="21"/>
              </w:rPr>
              <w:t>-</w:t>
            </w:r>
          </w:p>
        </w:tc>
        <w:tc>
          <w:tcPr>
            <w:tcW w:w="881" w:type="dxa"/>
            <w:vMerge w:val="continue"/>
            <w:tcBorders>
              <w:left w:val="single" w:color="auto" w:sz="4" w:space="0"/>
              <w:right w:val="single" w:color="auto" w:sz="4" w:space="0"/>
            </w:tcBorders>
            <w:vAlign w:val="center"/>
          </w:tcPr>
          <w:p w14:paraId="148CA412">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842" w:type="dxa"/>
            <w:vMerge w:val="continue"/>
            <w:tcBorders>
              <w:left w:val="single" w:color="auto" w:sz="4" w:space="0"/>
              <w:right w:val="single" w:color="auto" w:sz="4" w:space="0"/>
            </w:tcBorders>
            <w:vAlign w:val="center"/>
          </w:tcPr>
          <w:p w14:paraId="4BCFE43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39" w:type="dxa"/>
            <w:vMerge w:val="continue"/>
            <w:tcBorders>
              <w:left w:val="single" w:color="auto" w:sz="4" w:space="0"/>
              <w:right w:val="single" w:color="auto" w:sz="4" w:space="0"/>
            </w:tcBorders>
            <w:vAlign w:val="center"/>
          </w:tcPr>
          <w:p w14:paraId="4052025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07B37EAC">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4DFF4AF4">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31B5367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3</w:t>
            </w:r>
          </w:p>
        </w:tc>
        <w:tc>
          <w:tcPr>
            <w:tcW w:w="1277" w:type="dxa"/>
            <w:tcBorders>
              <w:top w:val="single" w:color="auto" w:sz="4" w:space="0"/>
              <w:left w:val="single" w:color="auto" w:sz="4" w:space="0"/>
              <w:bottom w:val="single" w:color="auto" w:sz="4" w:space="0"/>
              <w:right w:val="single" w:color="auto" w:sz="4" w:space="0"/>
            </w:tcBorders>
            <w:vAlign w:val="center"/>
          </w:tcPr>
          <w:p w14:paraId="73B23B5B">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1"/>
                <w:szCs w:val="21"/>
              </w:rPr>
            </w:pPr>
            <w:r>
              <w:rPr>
                <w:rFonts w:hint="eastAsia" w:ascii="宋体" w:hAnsi="宋体" w:cs="宋体"/>
                <w:color w:val="000000"/>
                <w:kern w:val="0"/>
                <w:sz w:val="21"/>
                <w:szCs w:val="21"/>
              </w:rPr>
              <w:t>油漆降解</w:t>
            </w:r>
          </w:p>
          <w:p w14:paraId="0A80220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（国产）</w:t>
            </w:r>
          </w:p>
        </w:tc>
        <w:tc>
          <w:tcPr>
            <w:tcW w:w="911" w:type="dxa"/>
            <w:vMerge w:val="continue"/>
            <w:tcBorders>
              <w:left w:val="single" w:color="auto" w:sz="4" w:space="0"/>
              <w:right w:val="single" w:color="auto" w:sz="4" w:space="0"/>
            </w:tcBorders>
            <w:vAlign w:val="center"/>
          </w:tcPr>
          <w:p w14:paraId="727D98F2">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40" w:type="dxa"/>
            <w:tcBorders>
              <w:top w:val="single" w:color="auto" w:sz="4" w:space="0"/>
              <w:left w:val="single" w:color="auto" w:sz="4" w:space="0"/>
              <w:bottom w:val="single" w:color="auto" w:sz="4" w:space="0"/>
              <w:right w:val="single" w:color="auto" w:sz="4" w:space="0"/>
            </w:tcBorders>
            <w:vAlign w:val="center"/>
          </w:tcPr>
          <w:p w14:paraId="1411975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183E287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平方米</w:t>
            </w:r>
          </w:p>
        </w:tc>
        <w:tc>
          <w:tcPr>
            <w:tcW w:w="921" w:type="dxa"/>
            <w:vMerge w:val="continue"/>
            <w:tcBorders>
              <w:left w:val="single" w:color="auto" w:sz="4" w:space="0"/>
              <w:right w:val="single" w:color="auto" w:sz="4" w:space="0"/>
            </w:tcBorders>
            <w:vAlign w:val="center"/>
          </w:tcPr>
          <w:p w14:paraId="593DD399">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4F96352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default" w:ascii="宋体" w:hAnsi="宋体" w:cs="宋体"/>
                <w:color w:val="000000"/>
                <w:kern w:val="0"/>
                <w:sz w:val="21"/>
                <w:szCs w:val="21"/>
              </w:rPr>
              <w:t>-</w:t>
            </w:r>
          </w:p>
        </w:tc>
        <w:tc>
          <w:tcPr>
            <w:tcW w:w="881" w:type="dxa"/>
            <w:vMerge w:val="continue"/>
            <w:tcBorders>
              <w:left w:val="single" w:color="auto" w:sz="4" w:space="0"/>
              <w:right w:val="single" w:color="auto" w:sz="4" w:space="0"/>
            </w:tcBorders>
            <w:vAlign w:val="center"/>
          </w:tcPr>
          <w:p w14:paraId="64955B38">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842" w:type="dxa"/>
            <w:vMerge w:val="continue"/>
            <w:tcBorders>
              <w:left w:val="single" w:color="auto" w:sz="4" w:space="0"/>
              <w:right w:val="single" w:color="auto" w:sz="4" w:space="0"/>
            </w:tcBorders>
            <w:vAlign w:val="center"/>
          </w:tcPr>
          <w:p w14:paraId="2DA933C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39" w:type="dxa"/>
            <w:vMerge w:val="continue"/>
            <w:tcBorders>
              <w:left w:val="single" w:color="auto" w:sz="4" w:space="0"/>
              <w:right w:val="single" w:color="auto" w:sz="4" w:space="0"/>
            </w:tcBorders>
            <w:vAlign w:val="center"/>
          </w:tcPr>
          <w:p w14:paraId="44FBB5A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1CD8D034">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4AEC3550">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6438F91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4</w:t>
            </w:r>
          </w:p>
        </w:tc>
        <w:tc>
          <w:tcPr>
            <w:tcW w:w="1277" w:type="dxa"/>
            <w:tcBorders>
              <w:top w:val="single" w:color="auto" w:sz="4" w:space="0"/>
              <w:left w:val="single" w:color="auto" w:sz="4" w:space="0"/>
              <w:bottom w:val="single" w:color="auto" w:sz="4" w:space="0"/>
              <w:right w:val="single" w:color="auto" w:sz="4" w:space="0"/>
            </w:tcBorders>
            <w:vAlign w:val="center"/>
          </w:tcPr>
          <w:p w14:paraId="653BB2A1">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1"/>
                <w:szCs w:val="21"/>
              </w:rPr>
            </w:pPr>
            <w:r>
              <w:rPr>
                <w:rFonts w:hint="eastAsia" w:ascii="宋体" w:hAnsi="宋体" w:cs="宋体"/>
                <w:color w:val="000000"/>
                <w:kern w:val="0"/>
                <w:sz w:val="21"/>
                <w:szCs w:val="21"/>
              </w:rPr>
              <w:t>高效除味</w:t>
            </w:r>
          </w:p>
          <w:p w14:paraId="78FDBB5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（国产）</w:t>
            </w:r>
          </w:p>
        </w:tc>
        <w:tc>
          <w:tcPr>
            <w:tcW w:w="911" w:type="dxa"/>
            <w:vMerge w:val="continue"/>
            <w:tcBorders>
              <w:left w:val="single" w:color="auto" w:sz="4" w:space="0"/>
              <w:right w:val="single" w:color="auto" w:sz="4" w:space="0"/>
            </w:tcBorders>
            <w:vAlign w:val="center"/>
          </w:tcPr>
          <w:p w14:paraId="0C4E377B">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40" w:type="dxa"/>
            <w:tcBorders>
              <w:top w:val="single" w:color="auto" w:sz="4" w:space="0"/>
              <w:left w:val="single" w:color="auto" w:sz="4" w:space="0"/>
              <w:bottom w:val="single" w:color="auto" w:sz="4" w:space="0"/>
              <w:right w:val="single" w:color="auto" w:sz="4" w:space="0"/>
            </w:tcBorders>
            <w:vAlign w:val="center"/>
          </w:tcPr>
          <w:p w14:paraId="13F7E12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32A3A0DD">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平方米</w:t>
            </w:r>
          </w:p>
        </w:tc>
        <w:tc>
          <w:tcPr>
            <w:tcW w:w="921" w:type="dxa"/>
            <w:vMerge w:val="continue"/>
            <w:tcBorders>
              <w:left w:val="single" w:color="auto" w:sz="4" w:space="0"/>
              <w:right w:val="single" w:color="auto" w:sz="4" w:space="0"/>
            </w:tcBorders>
            <w:vAlign w:val="center"/>
          </w:tcPr>
          <w:p w14:paraId="2E6283A2">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0ADBB667">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default" w:ascii="宋体" w:hAnsi="宋体" w:cs="宋体"/>
                <w:color w:val="000000"/>
                <w:kern w:val="0"/>
                <w:sz w:val="21"/>
                <w:szCs w:val="21"/>
              </w:rPr>
              <w:t>-</w:t>
            </w:r>
          </w:p>
        </w:tc>
        <w:tc>
          <w:tcPr>
            <w:tcW w:w="881" w:type="dxa"/>
            <w:vMerge w:val="continue"/>
            <w:tcBorders>
              <w:left w:val="single" w:color="auto" w:sz="4" w:space="0"/>
              <w:right w:val="single" w:color="auto" w:sz="4" w:space="0"/>
            </w:tcBorders>
            <w:vAlign w:val="center"/>
          </w:tcPr>
          <w:p w14:paraId="407F1149">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842" w:type="dxa"/>
            <w:vMerge w:val="continue"/>
            <w:tcBorders>
              <w:left w:val="single" w:color="auto" w:sz="4" w:space="0"/>
              <w:right w:val="single" w:color="auto" w:sz="4" w:space="0"/>
            </w:tcBorders>
            <w:vAlign w:val="center"/>
          </w:tcPr>
          <w:p w14:paraId="5E14D52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39" w:type="dxa"/>
            <w:vMerge w:val="continue"/>
            <w:tcBorders>
              <w:left w:val="single" w:color="auto" w:sz="4" w:space="0"/>
              <w:right w:val="single" w:color="auto" w:sz="4" w:space="0"/>
            </w:tcBorders>
            <w:vAlign w:val="center"/>
          </w:tcPr>
          <w:p w14:paraId="393326B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116D47EF">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7A42A889">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0E64400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5</w:t>
            </w:r>
          </w:p>
        </w:tc>
        <w:tc>
          <w:tcPr>
            <w:tcW w:w="1277" w:type="dxa"/>
            <w:tcBorders>
              <w:top w:val="single" w:color="auto" w:sz="4" w:space="0"/>
              <w:left w:val="single" w:color="auto" w:sz="4" w:space="0"/>
              <w:bottom w:val="single" w:color="auto" w:sz="4" w:space="0"/>
              <w:right w:val="single" w:color="auto" w:sz="4" w:space="0"/>
            </w:tcBorders>
            <w:vAlign w:val="center"/>
          </w:tcPr>
          <w:p w14:paraId="2FCEA1DF">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1"/>
                <w:szCs w:val="21"/>
              </w:rPr>
            </w:pPr>
            <w:r>
              <w:rPr>
                <w:rFonts w:hint="eastAsia" w:ascii="宋体" w:hAnsi="宋体" w:cs="宋体"/>
                <w:color w:val="000000"/>
                <w:kern w:val="0"/>
                <w:sz w:val="21"/>
                <w:szCs w:val="21"/>
              </w:rPr>
              <w:t>异味处理</w:t>
            </w:r>
          </w:p>
          <w:p w14:paraId="0C8551E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（国产）</w:t>
            </w:r>
          </w:p>
        </w:tc>
        <w:tc>
          <w:tcPr>
            <w:tcW w:w="911" w:type="dxa"/>
            <w:vMerge w:val="continue"/>
            <w:tcBorders>
              <w:left w:val="single" w:color="auto" w:sz="4" w:space="0"/>
              <w:right w:val="single" w:color="auto" w:sz="4" w:space="0"/>
            </w:tcBorders>
            <w:vAlign w:val="center"/>
          </w:tcPr>
          <w:p w14:paraId="6D6A98E0">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40" w:type="dxa"/>
            <w:tcBorders>
              <w:top w:val="single" w:color="auto" w:sz="4" w:space="0"/>
              <w:left w:val="single" w:color="auto" w:sz="4" w:space="0"/>
              <w:bottom w:val="single" w:color="auto" w:sz="4" w:space="0"/>
              <w:right w:val="single" w:color="auto" w:sz="4" w:space="0"/>
            </w:tcBorders>
            <w:vAlign w:val="center"/>
          </w:tcPr>
          <w:p w14:paraId="11C8F2D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960" w:type="dxa"/>
            <w:tcBorders>
              <w:top w:val="single" w:color="auto" w:sz="4" w:space="0"/>
              <w:left w:val="single" w:color="auto" w:sz="4" w:space="0"/>
              <w:bottom w:val="single" w:color="auto" w:sz="4" w:space="0"/>
              <w:right w:val="single" w:color="auto" w:sz="4" w:space="0"/>
            </w:tcBorders>
            <w:vAlign w:val="center"/>
          </w:tcPr>
          <w:p w14:paraId="5A931C2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平方米</w:t>
            </w:r>
          </w:p>
        </w:tc>
        <w:tc>
          <w:tcPr>
            <w:tcW w:w="921" w:type="dxa"/>
            <w:vMerge w:val="continue"/>
            <w:tcBorders>
              <w:left w:val="single" w:color="auto" w:sz="4" w:space="0"/>
              <w:right w:val="single" w:color="auto" w:sz="4" w:space="0"/>
            </w:tcBorders>
            <w:vAlign w:val="center"/>
          </w:tcPr>
          <w:p w14:paraId="0AAB80CE">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39A2DEA1">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default" w:ascii="宋体" w:hAnsi="宋体" w:cs="宋体"/>
                <w:color w:val="000000"/>
                <w:kern w:val="0"/>
                <w:sz w:val="21"/>
                <w:szCs w:val="21"/>
              </w:rPr>
              <w:t>-</w:t>
            </w:r>
          </w:p>
        </w:tc>
        <w:tc>
          <w:tcPr>
            <w:tcW w:w="881" w:type="dxa"/>
            <w:vMerge w:val="continue"/>
            <w:tcBorders>
              <w:left w:val="single" w:color="auto" w:sz="4" w:space="0"/>
              <w:right w:val="single" w:color="auto" w:sz="4" w:space="0"/>
            </w:tcBorders>
            <w:vAlign w:val="center"/>
          </w:tcPr>
          <w:p w14:paraId="2D5EA211">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p>
        </w:tc>
        <w:tc>
          <w:tcPr>
            <w:tcW w:w="842" w:type="dxa"/>
            <w:vMerge w:val="continue"/>
            <w:tcBorders>
              <w:left w:val="single" w:color="auto" w:sz="4" w:space="0"/>
              <w:right w:val="single" w:color="auto" w:sz="4" w:space="0"/>
            </w:tcBorders>
            <w:vAlign w:val="center"/>
          </w:tcPr>
          <w:p w14:paraId="4441813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39" w:type="dxa"/>
            <w:vMerge w:val="continue"/>
            <w:tcBorders>
              <w:left w:val="single" w:color="auto" w:sz="4" w:space="0"/>
              <w:right w:val="single" w:color="auto" w:sz="4" w:space="0"/>
            </w:tcBorders>
            <w:vAlign w:val="center"/>
          </w:tcPr>
          <w:p w14:paraId="554FC7F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1BB2812C">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3819AA2B">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2EA46632">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val="en-US" w:eastAsia="zh-CN"/>
              </w:rPr>
              <w:t>6</w:t>
            </w:r>
          </w:p>
        </w:tc>
        <w:tc>
          <w:tcPr>
            <w:tcW w:w="1277" w:type="dxa"/>
            <w:tcBorders>
              <w:top w:val="single" w:color="auto" w:sz="4" w:space="0"/>
              <w:left w:val="single" w:color="auto" w:sz="4" w:space="0"/>
              <w:bottom w:val="single" w:color="auto" w:sz="4" w:space="0"/>
              <w:right w:val="single" w:color="auto" w:sz="4" w:space="0"/>
            </w:tcBorders>
            <w:vAlign w:val="center"/>
          </w:tcPr>
          <w:p w14:paraId="6612F3D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国家CMA检测中心复检</w:t>
            </w:r>
          </w:p>
        </w:tc>
        <w:tc>
          <w:tcPr>
            <w:tcW w:w="911" w:type="dxa"/>
            <w:vMerge w:val="continue"/>
            <w:tcBorders>
              <w:left w:val="single" w:color="auto" w:sz="4" w:space="0"/>
              <w:right w:val="single" w:color="auto" w:sz="4" w:space="0"/>
            </w:tcBorders>
            <w:vAlign w:val="center"/>
          </w:tcPr>
          <w:p w14:paraId="4CF9F22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1040" w:type="dxa"/>
            <w:tcBorders>
              <w:top w:val="single" w:color="auto" w:sz="4" w:space="0"/>
              <w:left w:val="single" w:color="auto" w:sz="4" w:space="0"/>
              <w:bottom w:val="single" w:color="auto" w:sz="4" w:space="0"/>
              <w:right w:val="single" w:color="auto" w:sz="4" w:space="0"/>
            </w:tcBorders>
            <w:vAlign w:val="center"/>
          </w:tcPr>
          <w:p w14:paraId="323C565C">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p>
        </w:tc>
        <w:tc>
          <w:tcPr>
            <w:tcW w:w="960" w:type="dxa"/>
            <w:tcBorders>
              <w:top w:val="single" w:color="auto" w:sz="4" w:space="0"/>
              <w:left w:val="single" w:color="auto" w:sz="4" w:space="0"/>
              <w:bottom w:val="single" w:color="auto" w:sz="4" w:space="0"/>
              <w:right w:val="single" w:color="auto" w:sz="4" w:space="0"/>
            </w:tcBorders>
            <w:vAlign w:val="center"/>
          </w:tcPr>
          <w:p w14:paraId="2D98DB4D">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r>
              <w:rPr>
                <w:rFonts w:hint="eastAsia" w:ascii="宋体" w:hAnsi="宋体" w:cs="宋体"/>
                <w:kern w:val="0"/>
                <w:sz w:val="21"/>
                <w:szCs w:val="21"/>
              </w:rPr>
              <w:t>间</w:t>
            </w:r>
          </w:p>
        </w:tc>
        <w:tc>
          <w:tcPr>
            <w:tcW w:w="921" w:type="dxa"/>
            <w:vMerge w:val="continue"/>
            <w:tcBorders>
              <w:left w:val="single" w:color="auto" w:sz="4" w:space="0"/>
              <w:right w:val="single" w:color="auto" w:sz="4" w:space="0"/>
            </w:tcBorders>
            <w:vAlign w:val="center"/>
          </w:tcPr>
          <w:p w14:paraId="5590928B">
            <w:pPr>
              <w:keepNext w:val="0"/>
              <w:keepLines w:val="0"/>
              <w:suppressLineNumbers w:val="0"/>
              <w:spacing w:before="0" w:beforeAutospacing="0" w:after="0" w:afterAutospacing="0"/>
              <w:ind w:left="0" w:right="0"/>
              <w:jc w:val="center"/>
              <w:rPr>
                <w:rFonts w:hint="default" w:ascii="宋体" w:hAnsi="宋体" w:cs="宋体"/>
                <w:kern w:val="0"/>
                <w:sz w:val="21"/>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2872A2F9">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r>
              <w:rPr>
                <w:rFonts w:hint="eastAsia" w:ascii="宋体" w:hAnsi="宋体" w:cs="宋体"/>
                <w:kern w:val="0"/>
                <w:sz w:val="21"/>
                <w:szCs w:val="21"/>
              </w:rPr>
              <w:t>-</w:t>
            </w:r>
          </w:p>
        </w:tc>
        <w:tc>
          <w:tcPr>
            <w:tcW w:w="881" w:type="dxa"/>
            <w:vMerge w:val="continue"/>
            <w:tcBorders>
              <w:left w:val="single" w:color="auto" w:sz="4" w:space="0"/>
              <w:right w:val="single" w:color="auto" w:sz="4" w:space="0"/>
            </w:tcBorders>
            <w:vAlign w:val="center"/>
          </w:tcPr>
          <w:p w14:paraId="5A3223AD">
            <w:pPr>
              <w:keepNext w:val="0"/>
              <w:keepLines w:val="0"/>
              <w:suppressLineNumbers w:val="0"/>
              <w:spacing w:before="0" w:beforeAutospacing="0" w:after="0" w:afterAutospacing="0"/>
              <w:ind w:left="0" w:right="0"/>
              <w:jc w:val="center"/>
              <w:rPr>
                <w:rFonts w:hint="default" w:ascii="宋体" w:hAnsi="宋体" w:cs="宋体"/>
                <w:kern w:val="0"/>
                <w:sz w:val="21"/>
                <w:szCs w:val="21"/>
              </w:rPr>
            </w:pPr>
          </w:p>
        </w:tc>
        <w:tc>
          <w:tcPr>
            <w:tcW w:w="842" w:type="dxa"/>
            <w:vMerge w:val="continue"/>
            <w:tcBorders>
              <w:left w:val="single" w:color="auto" w:sz="4" w:space="0"/>
              <w:right w:val="single" w:color="auto" w:sz="4" w:space="0"/>
            </w:tcBorders>
            <w:vAlign w:val="center"/>
          </w:tcPr>
          <w:p w14:paraId="27030372">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p>
        </w:tc>
        <w:tc>
          <w:tcPr>
            <w:tcW w:w="1039" w:type="dxa"/>
            <w:vMerge w:val="continue"/>
            <w:tcBorders>
              <w:left w:val="single" w:color="auto" w:sz="4" w:space="0"/>
              <w:right w:val="single" w:color="auto" w:sz="4" w:space="0"/>
            </w:tcBorders>
            <w:vAlign w:val="center"/>
          </w:tcPr>
          <w:p w14:paraId="2EBF18A2">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3825DA89">
        <w:tblPrEx>
          <w:tblCellMar>
            <w:top w:w="0" w:type="dxa"/>
            <w:left w:w="108" w:type="dxa"/>
            <w:bottom w:w="0" w:type="dxa"/>
            <w:right w:w="108" w:type="dxa"/>
          </w:tblCellMar>
        </w:tblPrEx>
        <w:trPr>
          <w:trHeight w:val="285" w:hRule="atLeast"/>
        </w:trPr>
        <w:tc>
          <w:tcPr>
            <w:tcW w:w="772" w:type="dxa"/>
            <w:vMerge w:val="continue"/>
            <w:tcBorders>
              <w:left w:val="single" w:color="auto" w:sz="8" w:space="0"/>
              <w:right w:val="single" w:color="auto" w:sz="4" w:space="0"/>
            </w:tcBorders>
            <w:vAlign w:val="center"/>
          </w:tcPr>
          <w:p w14:paraId="04A84C8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single" w:color="auto" w:sz="4" w:space="0"/>
              <w:bottom w:val="single" w:color="auto" w:sz="4" w:space="0"/>
              <w:right w:val="single" w:color="auto" w:sz="4" w:space="0"/>
            </w:tcBorders>
            <w:vAlign w:val="center"/>
          </w:tcPr>
          <w:p w14:paraId="7B4CDB30">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val="en-US" w:eastAsia="zh-CN"/>
              </w:rPr>
              <w:t>7</w:t>
            </w:r>
          </w:p>
        </w:tc>
        <w:tc>
          <w:tcPr>
            <w:tcW w:w="1277" w:type="dxa"/>
            <w:tcBorders>
              <w:top w:val="single" w:color="auto" w:sz="4" w:space="0"/>
              <w:left w:val="single" w:color="auto" w:sz="4" w:space="0"/>
              <w:bottom w:val="single" w:color="auto" w:sz="4" w:space="0"/>
              <w:right w:val="single" w:color="auto" w:sz="4" w:space="0"/>
            </w:tcBorders>
            <w:vAlign w:val="center"/>
          </w:tcPr>
          <w:p w14:paraId="32E59994">
            <w:pPr>
              <w:keepNext w:val="0"/>
              <w:keepLines w:val="0"/>
              <w:widowControl/>
              <w:suppressLineNumbers w:val="0"/>
              <w:spacing w:before="0" w:beforeAutospacing="0" w:after="0" w:afterAutospacing="0"/>
              <w:ind w:left="0" w:right="0"/>
              <w:jc w:val="center"/>
              <w:rPr>
                <w:rFonts w:hint="eastAsia" w:ascii="宋体" w:hAnsi="宋体" w:cs="宋体"/>
                <w:color w:val="000000"/>
                <w:kern w:val="0"/>
                <w:sz w:val="21"/>
                <w:szCs w:val="21"/>
              </w:rPr>
            </w:pPr>
            <w:r>
              <w:rPr>
                <w:rFonts w:hint="eastAsia" w:ascii="宋体" w:hAnsi="宋体" w:cs="宋体"/>
                <w:color w:val="000000"/>
                <w:kern w:val="0"/>
                <w:sz w:val="21"/>
                <w:szCs w:val="21"/>
              </w:rPr>
              <w:t>施工前后</w:t>
            </w:r>
          </w:p>
          <w:p w14:paraId="4FE0282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检测费用</w:t>
            </w:r>
          </w:p>
        </w:tc>
        <w:tc>
          <w:tcPr>
            <w:tcW w:w="911" w:type="dxa"/>
            <w:vMerge w:val="continue"/>
            <w:tcBorders>
              <w:left w:val="single" w:color="auto" w:sz="4" w:space="0"/>
              <w:right w:val="single" w:color="auto" w:sz="4" w:space="0"/>
            </w:tcBorders>
            <w:vAlign w:val="center"/>
          </w:tcPr>
          <w:p w14:paraId="6F5C48C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1040" w:type="dxa"/>
            <w:tcBorders>
              <w:top w:val="single" w:color="auto" w:sz="4" w:space="0"/>
              <w:left w:val="single" w:color="auto" w:sz="4" w:space="0"/>
              <w:bottom w:val="single" w:color="auto" w:sz="4" w:space="0"/>
              <w:right w:val="single" w:color="auto" w:sz="4" w:space="0"/>
            </w:tcBorders>
            <w:vAlign w:val="center"/>
          </w:tcPr>
          <w:p w14:paraId="63D19118">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p>
        </w:tc>
        <w:tc>
          <w:tcPr>
            <w:tcW w:w="960" w:type="dxa"/>
            <w:tcBorders>
              <w:top w:val="single" w:color="auto" w:sz="4" w:space="0"/>
              <w:left w:val="single" w:color="auto" w:sz="4" w:space="0"/>
              <w:bottom w:val="single" w:color="auto" w:sz="4" w:space="0"/>
              <w:right w:val="single" w:color="auto" w:sz="4" w:space="0"/>
            </w:tcBorders>
            <w:vAlign w:val="center"/>
          </w:tcPr>
          <w:p w14:paraId="0EC99181">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r>
              <w:rPr>
                <w:rFonts w:hint="eastAsia" w:ascii="宋体" w:hAnsi="宋体" w:cs="宋体"/>
                <w:color w:val="000000"/>
                <w:kern w:val="0"/>
                <w:sz w:val="21"/>
                <w:szCs w:val="21"/>
              </w:rPr>
              <w:t>间</w:t>
            </w:r>
          </w:p>
        </w:tc>
        <w:tc>
          <w:tcPr>
            <w:tcW w:w="921" w:type="dxa"/>
            <w:vMerge w:val="continue"/>
            <w:tcBorders>
              <w:left w:val="single" w:color="auto" w:sz="4" w:space="0"/>
              <w:bottom w:val="single" w:color="auto" w:sz="4" w:space="0"/>
              <w:right w:val="single" w:color="auto" w:sz="4" w:space="0"/>
            </w:tcBorders>
            <w:vAlign w:val="center"/>
          </w:tcPr>
          <w:p w14:paraId="2586C32B">
            <w:pPr>
              <w:keepNext w:val="0"/>
              <w:keepLines w:val="0"/>
              <w:suppressLineNumbers w:val="0"/>
              <w:spacing w:before="0" w:beforeAutospacing="0" w:after="0" w:afterAutospacing="0"/>
              <w:ind w:left="0" w:right="0"/>
              <w:jc w:val="center"/>
              <w:rPr>
                <w:rFonts w:hint="default" w:ascii="宋体" w:hAnsi="宋体" w:cs="宋体"/>
                <w:kern w:val="0"/>
                <w:sz w:val="21"/>
                <w:szCs w:val="21"/>
              </w:rPr>
            </w:pPr>
          </w:p>
        </w:tc>
        <w:tc>
          <w:tcPr>
            <w:tcW w:w="901" w:type="dxa"/>
            <w:tcBorders>
              <w:top w:val="single" w:color="auto" w:sz="4" w:space="0"/>
              <w:left w:val="single" w:color="auto" w:sz="4" w:space="0"/>
              <w:bottom w:val="single" w:color="auto" w:sz="4" w:space="0"/>
              <w:right w:val="single" w:color="auto" w:sz="4" w:space="0"/>
            </w:tcBorders>
            <w:vAlign w:val="center"/>
          </w:tcPr>
          <w:p w14:paraId="5EF5355B">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r>
              <w:rPr>
                <w:rFonts w:hint="eastAsia" w:ascii="宋体" w:hAnsi="宋体" w:cs="宋体"/>
                <w:kern w:val="0"/>
                <w:sz w:val="21"/>
                <w:szCs w:val="21"/>
              </w:rPr>
              <w:t>-</w:t>
            </w:r>
          </w:p>
        </w:tc>
        <w:tc>
          <w:tcPr>
            <w:tcW w:w="881" w:type="dxa"/>
            <w:vMerge w:val="continue"/>
            <w:tcBorders>
              <w:left w:val="single" w:color="auto" w:sz="4" w:space="0"/>
              <w:bottom w:val="single" w:color="auto" w:sz="4" w:space="0"/>
              <w:right w:val="single" w:color="auto" w:sz="4" w:space="0"/>
            </w:tcBorders>
            <w:vAlign w:val="center"/>
          </w:tcPr>
          <w:p w14:paraId="6947B25F">
            <w:pPr>
              <w:keepNext w:val="0"/>
              <w:keepLines w:val="0"/>
              <w:suppressLineNumbers w:val="0"/>
              <w:spacing w:before="0" w:beforeAutospacing="0" w:after="0" w:afterAutospacing="0"/>
              <w:ind w:left="0" w:right="0"/>
              <w:jc w:val="center"/>
              <w:rPr>
                <w:rFonts w:hint="default" w:ascii="宋体" w:hAnsi="宋体" w:cs="宋体"/>
                <w:kern w:val="0"/>
                <w:sz w:val="21"/>
                <w:szCs w:val="21"/>
              </w:rPr>
            </w:pPr>
          </w:p>
        </w:tc>
        <w:tc>
          <w:tcPr>
            <w:tcW w:w="842" w:type="dxa"/>
            <w:vMerge w:val="continue"/>
            <w:tcBorders>
              <w:left w:val="single" w:color="auto" w:sz="4" w:space="0"/>
              <w:bottom w:val="single" w:color="auto" w:sz="4" w:space="0"/>
              <w:right w:val="single" w:color="auto" w:sz="4" w:space="0"/>
            </w:tcBorders>
            <w:vAlign w:val="center"/>
          </w:tcPr>
          <w:p w14:paraId="6D3B0365">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p>
        </w:tc>
        <w:tc>
          <w:tcPr>
            <w:tcW w:w="1039" w:type="dxa"/>
            <w:vMerge w:val="continue"/>
            <w:tcBorders>
              <w:left w:val="single" w:color="auto" w:sz="4" w:space="0"/>
              <w:bottom w:val="single" w:color="auto" w:sz="4" w:space="0"/>
              <w:right w:val="single" w:color="auto" w:sz="4" w:space="0"/>
            </w:tcBorders>
            <w:vAlign w:val="center"/>
          </w:tcPr>
          <w:p w14:paraId="45F0464A">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4B2AD412">
        <w:tblPrEx>
          <w:tblCellMar>
            <w:top w:w="0" w:type="dxa"/>
            <w:left w:w="108" w:type="dxa"/>
            <w:bottom w:w="0" w:type="dxa"/>
            <w:right w:w="108" w:type="dxa"/>
          </w:tblCellMar>
        </w:tblPrEx>
        <w:trPr>
          <w:trHeight w:val="342" w:hRule="atLeast"/>
        </w:trPr>
        <w:tc>
          <w:tcPr>
            <w:tcW w:w="772" w:type="dxa"/>
            <w:vMerge w:val="continue"/>
            <w:tcBorders>
              <w:left w:val="single" w:color="auto" w:sz="8" w:space="0"/>
              <w:right w:val="single" w:color="auto" w:sz="4" w:space="0"/>
            </w:tcBorders>
            <w:vAlign w:val="center"/>
          </w:tcPr>
          <w:p w14:paraId="3593BC6C">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nil"/>
              <w:bottom w:val="single" w:color="auto" w:sz="8" w:space="0"/>
              <w:right w:val="single" w:color="000000" w:sz="8" w:space="0"/>
            </w:tcBorders>
            <w:vAlign w:val="center"/>
          </w:tcPr>
          <w:p w14:paraId="605DEAE2">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lang w:eastAsia="zh-CN"/>
              </w:rPr>
            </w:pPr>
            <w:r>
              <w:rPr>
                <w:rFonts w:hint="eastAsia" w:ascii="宋体" w:hAnsi="宋体" w:cs="宋体"/>
                <w:color w:val="000000"/>
                <w:kern w:val="0"/>
                <w:sz w:val="21"/>
                <w:szCs w:val="21"/>
                <w:lang w:val="en-US" w:eastAsia="zh-CN"/>
              </w:rPr>
              <w:t>8</w:t>
            </w:r>
          </w:p>
        </w:tc>
        <w:tc>
          <w:tcPr>
            <w:tcW w:w="1277" w:type="dxa"/>
            <w:tcBorders>
              <w:top w:val="single" w:color="auto" w:sz="4" w:space="0"/>
              <w:left w:val="nil"/>
              <w:bottom w:val="single" w:color="auto" w:sz="8" w:space="0"/>
              <w:right w:val="single" w:color="000000" w:sz="8" w:space="0"/>
            </w:tcBorders>
            <w:vAlign w:val="center"/>
          </w:tcPr>
          <w:p w14:paraId="15BD3FD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发票</w:t>
            </w:r>
          </w:p>
        </w:tc>
        <w:tc>
          <w:tcPr>
            <w:tcW w:w="911" w:type="dxa"/>
            <w:tcBorders>
              <w:top w:val="single" w:color="auto" w:sz="4" w:space="0"/>
              <w:left w:val="nil"/>
              <w:bottom w:val="single" w:color="auto" w:sz="8" w:space="0"/>
              <w:right w:val="single" w:color="000000" w:sz="8" w:space="0"/>
            </w:tcBorders>
            <w:vAlign w:val="center"/>
          </w:tcPr>
          <w:p w14:paraId="698F132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1040" w:type="dxa"/>
            <w:tcBorders>
              <w:top w:val="single" w:color="auto" w:sz="4" w:space="0"/>
              <w:left w:val="nil"/>
              <w:bottom w:val="single" w:color="auto" w:sz="8" w:space="0"/>
              <w:right w:val="single" w:color="000000" w:sz="8" w:space="0"/>
            </w:tcBorders>
            <w:vAlign w:val="center"/>
          </w:tcPr>
          <w:p w14:paraId="56BB6ADC">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960" w:type="dxa"/>
            <w:tcBorders>
              <w:top w:val="single" w:color="auto" w:sz="4" w:space="0"/>
              <w:left w:val="nil"/>
              <w:bottom w:val="single" w:color="auto" w:sz="8" w:space="0"/>
              <w:right w:val="single" w:color="000000" w:sz="8" w:space="0"/>
            </w:tcBorders>
            <w:vAlign w:val="center"/>
          </w:tcPr>
          <w:p w14:paraId="428CA370">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color w:val="000000"/>
                <w:kern w:val="0"/>
                <w:sz w:val="21"/>
                <w:szCs w:val="21"/>
              </w:rPr>
              <w:t>-</w:t>
            </w:r>
          </w:p>
        </w:tc>
        <w:tc>
          <w:tcPr>
            <w:tcW w:w="921" w:type="dxa"/>
            <w:tcBorders>
              <w:top w:val="single" w:color="auto" w:sz="4" w:space="0"/>
              <w:left w:val="single" w:color="auto" w:sz="4" w:space="0"/>
              <w:bottom w:val="single" w:color="auto" w:sz="4" w:space="0"/>
              <w:right w:val="single" w:color="auto" w:sz="4" w:space="0"/>
            </w:tcBorders>
            <w:vAlign w:val="center"/>
          </w:tcPr>
          <w:p w14:paraId="1C87D28A">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kern w:val="0"/>
                <w:sz w:val="21"/>
                <w:szCs w:val="21"/>
              </w:rPr>
              <w:t>0</w:t>
            </w:r>
          </w:p>
        </w:tc>
        <w:tc>
          <w:tcPr>
            <w:tcW w:w="901" w:type="dxa"/>
            <w:tcBorders>
              <w:top w:val="single" w:color="auto" w:sz="4" w:space="0"/>
              <w:left w:val="single" w:color="auto" w:sz="4" w:space="0"/>
              <w:bottom w:val="single" w:color="auto" w:sz="4" w:space="0"/>
              <w:right w:val="single" w:color="auto" w:sz="4" w:space="0"/>
            </w:tcBorders>
            <w:vAlign w:val="center"/>
          </w:tcPr>
          <w:p w14:paraId="6EE2AAB6">
            <w:pPr>
              <w:keepNext w:val="0"/>
              <w:keepLines w:val="0"/>
              <w:widowControl/>
              <w:suppressLineNumbers w:val="0"/>
              <w:spacing w:before="0" w:beforeAutospacing="0" w:after="0" w:afterAutospacing="0"/>
              <w:ind w:left="0" w:right="0"/>
              <w:jc w:val="center"/>
              <w:rPr>
                <w:rFonts w:hint="eastAsia" w:ascii="宋体" w:hAnsi="宋体" w:eastAsia="宋体" w:cs="宋体"/>
                <w:color w:val="000000"/>
                <w:kern w:val="0"/>
                <w:sz w:val="21"/>
                <w:szCs w:val="21"/>
                <w:lang w:eastAsia="zh-CN"/>
              </w:rPr>
            </w:pPr>
            <w:r>
              <w:rPr>
                <w:rFonts w:hint="eastAsia" w:ascii="宋体" w:hAnsi="宋体" w:cs="宋体"/>
                <w:kern w:val="0"/>
                <w:sz w:val="21"/>
                <w:szCs w:val="21"/>
                <w:lang w:val="en-US" w:eastAsia="zh-CN"/>
              </w:rPr>
              <w:t>-</w:t>
            </w:r>
          </w:p>
        </w:tc>
        <w:tc>
          <w:tcPr>
            <w:tcW w:w="881" w:type="dxa"/>
            <w:tcBorders>
              <w:top w:val="single" w:color="auto" w:sz="4" w:space="0"/>
              <w:left w:val="single" w:color="auto" w:sz="4" w:space="0"/>
              <w:bottom w:val="single" w:color="auto" w:sz="4" w:space="0"/>
              <w:right w:val="single" w:color="auto" w:sz="4" w:space="0"/>
            </w:tcBorders>
            <w:vAlign w:val="center"/>
          </w:tcPr>
          <w:p w14:paraId="7D0F555D">
            <w:pPr>
              <w:keepNext w:val="0"/>
              <w:keepLines w:val="0"/>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kern w:val="0"/>
                <w:sz w:val="21"/>
                <w:szCs w:val="21"/>
              </w:rPr>
              <w:t>0</w:t>
            </w:r>
          </w:p>
        </w:tc>
        <w:tc>
          <w:tcPr>
            <w:tcW w:w="842" w:type="dxa"/>
            <w:tcBorders>
              <w:top w:val="single" w:color="auto" w:sz="4" w:space="0"/>
              <w:left w:val="single" w:color="auto" w:sz="4" w:space="0"/>
              <w:bottom w:val="single" w:color="auto" w:sz="4" w:space="0"/>
              <w:right w:val="single" w:color="auto" w:sz="4" w:space="0"/>
            </w:tcBorders>
            <w:vAlign w:val="center"/>
          </w:tcPr>
          <w:p w14:paraId="39364434">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r>
              <w:rPr>
                <w:rFonts w:hint="eastAsia" w:ascii="宋体" w:hAnsi="宋体" w:cs="宋体"/>
                <w:kern w:val="0"/>
                <w:sz w:val="21"/>
                <w:szCs w:val="21"/>
              </w:rPr>
              <w:t>0</w:t>
            </w:r>
          </w:p>
        </w:tc>
        <w:tc>
          <w:tcPr>
            <w:tcW w:w="1039" w:type="dxa"/>
            <w:tcBorders>
              <w:top w:val="single" w:color="auto" w:sz="4" w:space="0"/>
              <w:left w:val="single" w:color="auto" w:sz="4" w:space="0"/>
              <w:bottom w:val="single" w:color="auto" w:sz="4" w:space="0"/>
              <w:right w:val="single" w:color="auto" w:sz="4" w:space="0"/>
            </w:tcBorders>
            <w:vAlign w:val="center"/>
          </w:tcPr>
          <w:p w14:paraId="0495DBFA">
            <w:pPr>
              <w:keepNext w:val="0"/>
              <w:keepLines w:val="0"/>
              <w:widowControl/>
              <w:suppressLineNumbers w:val="0"/>
              <w:spacing w:before="0" w:beforeAutospacing="0" w:after="0" w:afterAutospacing="0"/>
              <w:ind w:left="0" w:right="0"/>
              <w:jc w:val="center"/>
              <w:rPr>
                <w:rFonts w:hint="default" w:ascii="宋体" w:hAnsi="宋体" w:eastAsia="宋体" w:cs="宋体"/>
                <w:color w:val="000000"/>
                <w:kern w:val="0"/>
                <w:sz w:val="21"/>
                <w:szCs w:val="21"/>
                <w:lang w:val="en-US" w:eastAsia="zh-CN"/>
              </w:rPr>
            </w:pPr>
            <w:r>
              <w:rPr>
                <w:rFonts w:hint="eastAsia" w:ascii="宋体" w:hAnsi="宋体" w:cs="宋体"/>
                <w:color w:val="000000"/>
                <w:kern w:val="0"/>
                <w:sz w:val="21"/>
                <w:szCs w:val="21"/>
                <w:lang w:val="en-US" w:eastAsia="zh-CN"/>
              </w:rPr>
              <w:t>包含增值发票</w:t>
            </w:r>
          </w:p>
        </w:tc>
      </w:tr>
      <w:tr w14:paraId="44532625">
        <w:tblPrEx>
          <w:tblCellMar>
            <w:top w:w="0" w:type="dxa"/>
            <w:left w:w="108" w:type="dxa"/>
            <w:bottom w:w="0" w:type="dxa"/>
            <w:right w:w="108" w:type="dxa"/>
          </w:tblCellMar>
        </w:tblPrEx>
        <w:trPr>
          <w:trHeight w:val="323" w:hRule="atLeast"/>
        </w:trPr>
        <w:tc>
          <w:tcPr>
            <w:tcW w:w="772" w:type="dxa"/>
            <w:tcBorders>
              <w:top w:val="nil"/>
              <w:left w:val="single" w:color="auto" w:sz="8" w:space="0"/>
              <w:bottom w:val="single" w:color="000000" w:sz="8" w:space="0"/>
              <w:right w:val="single" w:color="auto" w:sz="8" w:space="0"/>
            </w:tcBorders>
            <w:vAlign w:val="center"/>
          </w:tcPr>
          <w:p w14:paraId="3B9119B1">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nil"/>
              <w:bottom w:val="single" w:color="auto" w:sz="8" w:space="0"/>
              <w:right w:val="single" w:color="000000" w:sz="8" w:space="0"/>
            </w:tcBorders>
            <w:vAlign w:val="center"/>
          </w:tcPr>
          <w:p w14:paraId="16DE239E">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r>
              <w:rPr>
                <w:rFonts w:hint="eastAsia" w:ascii="宋体" w:hAnsi="宋体" w:cs="宋体"/>
                <w:b/>
                <w:bCs/>
                <w:kern w:val="0"/>
                <w:sz w:val="21"/>
                <w:szCs w:val="21"/>
              </w:rPr>
              <w:t>总价（元）</w:t>
            </w:r>
          </w:p>
        </w:tc>
        <w:tc>
          <w:tcPr>
            <w:tcW w:w="1277" w:type="dxa"/>
            <w:tcBorders>
              <w:top w:val="single" w:color="auto" w:sz="4" w:space="0"/>
              <w:left w:val="nil"/>
              <w:bottom w:val="single" w:color="auto" w:sz="8" w:space="0"/>
              <w:right w:val="single" w:color="auto" w:sz="8" w:space="0"/>
            </w:tcBorders>
            <w:vAlign w:val="center"/>
          </w:tcPr>
          <w:p w14:paraId="417DB779">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p>
        </w:tc>
        <w:tc>
          <w:tcPr>
            <w:tcW w:w="911" w:type="dxa"/>
            <w:tcBorders>
              <w:top w:val="single" w:color="auto" w:sz="4" w:space="0"/>
              <w:left w:val="nil"/>
              <w:bottom w:val="single" w:color="auto" w:sz="8" w:space="0"/>
              <w:right w:val="single" w:color="auto" w:sz="8" w:space="0"/>
            </w:tcBorders>
            <w:vAlign w:val="center"/>
          </w:tcPr>
          <w:p w14:paraId="1E11F5CB">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r>
              <w:rPr>
                <w:rFonts w:hint="default" w:ascii="宋体" w:hAnsi="宋体" w:cs="宋体"/>
                <w:color w:val="000000"/>
                <w:kern w:val="0"/>
                <w:sz w:val="21"/>
                <w:szCs w:val="21"/>
              </w:rPr>
              <w:t>-</w:t>
            </w:r>
          </w:p>
        </w:tc>
        <w:tc>
          <w:tcPr>
            <w:tcW w:w="1040" w:type="dxa"/>
            <w:tcBorders>
              <w:top w:val="single" w:color="auto" w:sz="4" w:space="0"/>
              <w:left w:val="nil"/>
              <w:bottom w:val="single" w:color="auto" w:sz="8" w:space="0"/>
              <w:right w:val="single" w:color="000000" w:sz="8" w:space="0"/>
            </w:tcBorders>
            <w:vAlign w:val="center"/>
          </w:tcPr>
          <w:p w14:paraId="7DD15BF8">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p>
        </w:tc>
        <w:tc>
          <w:tcPr>
            <w:tcW w:w="960" w:type="dxa"/>
            <w:tcBorders>
              <w:top w:val="single" w:color="auto" w:sz="4" w:space="0"/>
              <w:left w:val="nil"/>
              <w:bottom w:val="single" w:color="auto" w:sz="8" w:space="0"/>
              <w:right w:val="single" w:color="000000" w:sz="8" w:space="0"/>
            </w:tcBorders>
            <w:vAlign w:val="center"/>
          </w:tcPr>
          <w:p w14:paraId="2FF81AAF">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p>
        </w:tc>
        <w:tc>
          <w:tcPr>
            <w:tcW w:w="921" w:type="dxa"/>
            <w:tcBorders>
              <w:top w:val="single" w:color="auto" w:sz="4" w:space="0"/>
              <w:left w:val="nil"/>
              <w:bottom w:val="single" w:color="auto" w:sz="8" w:space="0"/>
              <w:right w:val="single" w:color="000000" w:sz="8" w:space="0"/>
            </w:tcBorders>
            <w:vAlign w:val="center"/>
          </w:tcPr>
          <w:p w14:paraId="661BEC78">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r>
              <w:rPr>
                <w:rFonts w:hint="eastAsia" w:ascii="宋体" w:hAnsi="宋体" w:cs="宋体"/>
                <w:color w:val="000000"/>
                <w:kern w:val="0"/>
                <w:sz w:val="21"/>
                <w:szCs w:val="21"/>
              </w:rPr>
              <w:t>-</w:t>
            </w:r>
          </w:p>
        </w:tc>
        <w:tc>
          <w:tcPr>
            <w:tcW w:w="901" w:type="dxa"/>
            <w:tcBorders>
              <w:top w:val="single" w:color="auto" w:sz="4" w:space="0"/>
              <w:left w:val="nil"/>
              <w:bottom w:val="single" w:color="auto" w:sz="8" w:space="0"/>
              <w:right w:val="single" w:color="000000" w:sz="8" w:space="0"/>
            </w:tcBorders>
            <w:vAlign w:val="center"/>
          </w:tcPr>
          <w:p w14:paraId="1F9A65BC">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r>
              <w:rPr>
                <w:rFonts w:hint="eastAsia" w:ascii="宋体" w:hAnsi="宋体" w:cs="宋体"/>
                <w:color w:val="000000"/>
                <w:kern w:val="0"/>
                <w:sz w:val="21"/>
                <w:szCs w:val="21"/>
              </w:rPr>
              <w:t>-</w:t>
            </w:r>
          </w:p>
        </w:tc>
        <w:tc>
          <w:tcPr>
            <w:tcW w:w="881" w:type="dxa"/>
            <w:tcBorders>
              <w:top w:val="single" w:color="auto" w:sz="4" w:space="0"/>
              <w:left w:val="nil"/>
              <w:bottom w:val="single" w:color="auto" w:sz="8" w:space="0"/>
              <w:right w:val="single" w:color="000000" w:sz="8" w:space="0"/>
            </w:tcBorders>
            <w:vAlign w:val="center"/>
          </w:tcPr>
          <w:p w14:paraId="55F14F1B">
            <w:pPr>
              <w:keepNext w:val="0"/>
              <w:keepLines w:val="0"/>
              <w:widowControl/>
              <w:suppressLineNumbers w:val="0"/>
              <w:spacing w:before="0" w:beforeAutospacing="0" w:after="0" w:afterAutospacing="0"/>
              <w:ind w:left="0" w:right="0"/>
              <w:jc w:val="center"/>
              <w:rPr>
                <w:rFonts w:hint="eastAsia" w:ascii="宋体" w:hAnsi="宋体" w:eastAsia="宋体" w:cs="宋体"/>
                <w:b/>
                <w:bCs/>
                <w:kern w:val="0"/>
                <w:sz w:val="21"/>
                <w:szCs w:val="21"/>
                <w:lang w:eastAsia="zh-CN"/>
              </w:rPr>
            </w:pPr>
            <w:r>
              <w:rPr>
                <w:rFonts w:hint="eastAsia" w:ascii="宋体" w:hAnsi="宋体" w:cs="宋体"/>
                <w:color w:val="000000"/>
                <w:kern w:val="0"/>
                <w:sz w:val="21"/>
                <w:szCs w:val="21"/>
                <w:lang w:val="en-US" w:eastAsia="zh-CN"/>
              </w:rPr>
              <w:t>-</w:t>
            </w:r>
          </w:p>
        </w:tc>
        <w:tc>
          <w:tcPr>
            <w:tcW w:w="842" w:type="dxa"/>
            <w:tcBorders>
              <w:top w:val="single" w:color="auto" w:sz="4" w:space="0"/>
              <w:left w:val="nil"/>
              <w:bottom w:val="single" w:color="auto" w:sz="8" w:space="0"/>
              <w:right w:val="single" w:color="auto" w:sz="8" w:space="0"/>
            </w:tcBorders>
            <w:vAlign w:val="center"/>
          </w:tcPr>
          <w:p w14:paraId="22348CD5">
            <w:pPr>
              <w:keepNext w:val="0"/>
              <w:keepLines w:val="0"/>
              <w:widowControl/>
              <w:suppressLineNumbers w:val="0"/>
              <w:spacing w:before="0" w:beforeAutospacing="0" w:after="0" w:afterAutospacing="0"/>
              <w:ind w:left="0" w:right="0"/>
              <w:jc w:val="center"/>
              <w:rPr>
                <w:rFonts w:hint="default" w:ascii="宋体" w:hAnsi="宋体" w:eastAsia="宋体" w:cs="宋体"/>
                <w:b/>
                <w:kern w:val="0"/>
                <w:sz w:val="21"/>
                <w:szCs w:val="21"/>
                <w:lang w:val="en-US" w:eastAsia="zh-CN"/>
              </w:rPr>
            </w:pPr>
          </w:p>
        </w:tc>
        <w:tc>
          <w:tcPr>
            <w:tcW w:w="1039" w:type="dxa"/>
            <w:tcBorders>
              <w:top w:val="single" w:color="auto" w:sz="4" w:space="0"/>
              <w:left w:val="nil"/>
              <w:bottom w:val="single" w:color="auto" w:sz="8" w:space="0"/>
              <w:right w:val="single" w:color="auto" w:sz="8" w:space="0"/>
            </w:tcBorders>
            <w:vAlign w:val="center"/>
          </w:tcPr>
          <w:p w14:paraId="12A5E773">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71BFABC9">
        <w:tblPrEx>
          <w:tblCellMar>
            <w:top w:w="0" w:type="dxa"/>
            <w:left w:w="108" w:type="dxa"/>
            <w:bottom w:w="0" w:type="dxa"/>
            <w:right w:w="108" w:type="dxa"/>
          </w:tblCellMar>
        </w:tblPrEx>
        <w:trPr>
          <w:trHeight w:val="323" w:hRule="atLeast"/>
        </w:trPr>
        <w:tc>
          <w:tcPr>
            <w:tcW w:w="772" w:type="dxa"/>
            <w:tcBorders>
              <w:top w:val="nil"/>
              <w:left w:val="single" w:color="auto" w:sz="8" w:space="0"/>
              <w:bottom w:val="single" w:color="000000" w:sz="8" w:space="0"/>
              <w:right w:val="single" w:color="auto" w:sz="8" w:space="0"/>
            </w:tcBorders>
            <w:vAlign w:val="center"/>
          </w:tcPr>
          <w:p w14:paraId="4D121B62">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802" w:type="dxa"/>
            <w:tcBorders>
              <w:top w:val="single" w:color="auto" w:sz="4" w:space="0"/>
              <w:left w:val="nil"/>
              <w:bottom w:val="single" w:color="auto" w:sz="8" w:space="0"/>
              <w:right w:val="single" w:color="000000" w:sz="8" w:space="0"/>
            </w:tcBorders>
            <w:vAlign w:val="center"/>
          </w:tcPr>
          <w:p w14:paraId="627F9829">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1277" w:type="dxa"/>
            <w:tcBorders>
              <w:top w:val="single" w:color="auto" w:sz="4" w:space="0"/>
              <w:left w:val="nil"/>
              <w:bottom w:val="single" w:color="auto" w:sz="8" w:space="0"/>
              <w:right w:val="single" w:color="auto" w:sz="8" w:space="0"/>
            </w:tcBorders>
            <w:vAlign w:val="center"/>
          </w:tcPr>
          <w:p w14:paraId="2F2AFDB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911" w:type="dxa"/>
            <w:tcBorders>
              <w:top w:val="single" w:color="auto" w:sz="4" w:space="0"/>
              <w:left w:val="nil"/>
              <w:bottom w:val="single" w:color="auto" w:sz="8" w:space="0"/>
              <w:right w:val="single" w:color="auto" w:sz="8" w:space="0"/>
            </w:tcBorders>
            <w:vAlign w:val="center"/>
          </w:tcPr>
          <w:p w14:paraId="4BBDB15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1040" w:type="dxa"/>
            <w:tcBorders>
              <w:top w:val="single" w:color="auto" w:sz="4" w:space="0"/>
              <w:left w:val="nil"/>
              <w:bottom w:val="single" w:color="auto" w:sz="8" w:space="0"/>
              <w:right w:val="single" w:color="000000" w:sz="8" w:space="0"/>
            </w:tcBorders>
            <w:vAlign w:val="center"/>
          </w:tcPr>
          <w:p w14:paraId="4E80F6CF">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960" w:type="dxa"/>
            <w:tcBorders>
              <w:top w:val="single" w:color="auto" w:sz="4" w:space="0"/>
              <w:left w:val="nil"/>
              <w:bottom w:val="single" w:color="auto" w:sz="8" w:space="0"/>
              <w:right w:val="single" w:color="000000" w:sz="8" w:space="0"/>
            </w:tcBorders>
            <w:vAlign w:val="center"/>
          </w:tcPr>
          <w:p w14:paraId="3EDCA86D">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921" w:type="dxa"/>
            <w:tcBorders>
              <w:top w:val="single" w:color="auto" w:sz="4" w:space="0"/>
              <w:left w:val="nil"/>
              <w:bottom w:val="single" w:color="auto" w:sz="8" w:space="0"/>
              <w:right w:val="single" w:color="000000" w:sz="8" w:space="0"/>
            </w:tcBorders>
            <w:vAlign w:val="center"/>
          </w:tcPr>
          <w:p w14:paraId="0D45062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901" w:type="dxa"/>
            <w:tcBorders>
              <w:top w:val="single" w:color="auto" w:sz="4" w:space="0"/>
              <w:left w:val="nil"/>
              <w:bottom w:val="single" w:color="auto" w:sz="8" w:space="0"/>
              <w:right w:val="single" w:color="000000" w:sz="8" w:space="0"/>
            </w:tcBorders>
            <w:vAlign w:val="center"/>
          </w:tcPr>
          <w:p w14:paraId="2C8AD9EB">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881" w:type="dxa"/>
            <w:tcBorders>
              <w:top w:val="single" w:color="auto" w:sz="4" w:space="0"/>
              <w:left w:val="nil"/>
              <w:bottom w:val="single" w:color="auto" w:sz="8" w:space="0"/>
              <w:right w:val="single" w:color="000000" w:sz="8" w:space="0"/>
            </w:tcBorders>
            <w:vAlign w:val="center"/>
          </w:tcPr>
          <w:p w14:paraId="735490E6">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c>
          <w:tcPr>
            <w:tcW w:w="842" w:type="dxa"/>
            <w:tcBorders>
              <w:top w:val="single" w:color="auto" w:sz="4" w:space="0"/>
              <w:left w:val="nil"/>
              <w:bottom w:val="single" w:color="auto" w:sz="8" w:space="0"/>
              <w:right w:val="single" w:color="auto" w:sz="8" w:space="0"/>
            </w:tcBorders>
            <w:vAlign w:val="center"/>
          </w:tcPr>
          <w:p w14:paraId="0F53D6FA">
            <w:pPr>
              <w:keepNext w:val="0"/>
              <w:keepLines w:val="0"/>
              <w:widowControl/>
              <w:suppressLineNumbers w:val="0"/>
              <w:spacing w:before="0" w:beforeAutospacing="0" w:after="0" w:afterAutospacing="0"/>
              <w:ind w:left="0" w:right="0"/>
              <w:jc w:val="center"/>
              <w:rPr>
                <w:rFonts w:hint="default" w:ascii="宋体" w:hAnsi="宋体" w:cs="宋体"/>
                <w:kern w:val="0"/>
                <w:sz w:val="21"/>
                <w:szCs w:val="21"/>
              </w:rPr>
            </w:pPr>
          </w:p>
        </w:tc>
        <w:tc>
          <w:tcPr>
            <w:tcW w:w="1039" w:type="dxa"/>
            <w:tcBorders>
              <w:top w:val="single" w:color="auto" w:sz="4" w:space="0"/>
              <w:left w:val="nil"/>
              <w:bottom w:val="single" w:color="auto" w:sz="8" w:space="0"/>
              <w:right w:val="single" w:color="auto" w:sz="8" w:space="0"/>
            </w:tcBorders>
            <w:vAlign w:val="center"/>
          </w:tcPr>
          <w:p w14:paraId="44369D88">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39C4FA5C">
        <w:tblPrEx>
          <w:tblCellMar>
            <w:top w:w="0" w:type="dxa"/>
            <w:left w:w="108" w:type="dxa"/>
            <w:bottom w:w="0" w:type="dxa"/>
            <w:right w:w="108" w:type="dxa"/>
          </w:tblCellMar>
        </w:tblPrEx>
        <w:trPr>
          <w:trHeight w:val="285" w:hRule="atLeast"/>
        </w:trPr>
        <w:tc>
          <w:tcPr>
            <w:tcW w:w="772" w:type="dxa"/>
            <w:tcBorders>
              <w:top w:val="nil"/>
              <w:left w:val="single" w:color="auto" w:sz="8" w:space="0"/>
              <w:bottom w:val="single" w:color="000000" w:sz="8" w:space="0"/>
              <w:right w:val="single" w:color="auto" w:sz="8" w:space="0"/>
            </w:tcBorders>
            <w:vAlign w:val="center"/>
          </w:tcPr>
          <w:p w14:paraId="3B9E17EF">
            <w:pPr>
              <w:keepNext w:val="0"/>
              <w:keepLines w:val="0"/>
              <w:widowControl/>
              <w:suppressLineNumbers w:val="0"/>
              <w:spacing w:before="0" w:beforeAutospacing="0" w:after="0" w:afterAutospacing="0"/>
              <w:ind w:left="0" w:right="0"/>
              <w:jc w:val="center"/>
              <w:rPr>
                <w:rFonts w:hint="default" w:ascii="宋体" w:hAnsi="宋体" w:cs="宋体"/>
                <w:b/>
                <w:bCs/>
                <w:color w:val="000000"/>
                <w:kern w:val="0"/>
                <w:sz w:val="21"/>
                <w:szCs w:val="21"/>
              </w:rPr>
            </w:pPr>
          </w:p>
        </w:tc>
        <w:tc>
          <w:tcPr>
            <w:tcW w:w="7693" w:type="dxa"/>
            <w:gridSpan w:val="8"/>
            <w:tcBorders>
              <w:top w:val="single" w:color="auto" w:sz="4" w:space="0"/>
              <w:left w:val="nil"/>
              <w:bottom w:val="single" w:color="auto" w:sz="8" w:space="0"/>
              <w:right w:val="single" w:color="000000" w:sz="8" w:space="0"/>
            </w:tcBorders>
            <w:vAlign w:val="center"/>
          </w:tcPr>
          <w:p w14:paraId="0650D867">
            <w:pPr>
              <w:keepNext w:val="0"/>
              <w:keepLines w:val="0"/>
              <w:widowControl/>
              <w:suppressLineNumbers w:val="0"/>
              <w:spacing w:before="0" w:beforeAutospacing="0" w:after="0" w:afterAutospacing="0"/>
              <w:ind w:left="0" w:right="0"/>
              <w:jc w:val="center"/>
              <w:rPr>
                <w:rFonts w:hint="default" w:ascii="宋体" w:hAnsi="宋体" w:cs="宋体"/>
                <w:b/>
                <w:bCs/>
                <w:kern w:val="0"/>
                <w:sz w:val="21"/>
                <w:szCs w:val="21"/>
              </w:rPr>
            </w:pPr>
          </w:p>
        </w:tc>
        <w:tc>
          <w:tcPr>
            <w:tcW w:w="842" w:type="dxa"/>
            <w:tcBorders>
              <w:top w:val="single" w:color="auto" w:sz="4" w:space="0"/>
              <w:left w:val="nil"/>
              <w:bottom w:val="single" w:color="auto" w:sz="8" w:space="0"/>
              <w:right w:val="single" w:color="auto" w:sz="8" w:space="0"/>
            </w:tcBorders>
            <w:vAlign w:val="center"/>
          </w:tcPr>
          <w:p w14:paraId="7535F178">
            <w:pPr>
              <w:keepNext w:val="0"/>
              <w:keepLines w:val="0"/>
              <w:widowControl/>
              <w:suppressLineNumbers w:val="0"/>
              <w:spacing w:before="0" w:beforeAutospacing="0" w:after="0" w:afterAutospacing="0"/>
              <w:ind w:left="0" w:right="0"/>
              <w:jc w:val="center"/>
              <w:rPr>
                <w:rFonts w:hint="default" w:ascii="宋体" w:hAnsi="宋体" w:eastAsia="宋体" w:cs="宋体"/>
                <w:b/>
                <w:kern w:val="0"/>
                <w:sz w:val="21"/>
                <w:szCs w:val="21"/>
                <w:lang w:val="en-US" w:eastAsia="zh-CN"/>
              </w:rPr>
            </w:pPr>
          </w:p>
        </w:tc>
        <w:tc>
          <w:tcPr>
            <w:tcW w:w="1039" w:type="dxa"/>
            <w:tcBorders>
              <w:top w:val="single" w:color="auto" w:sz="4" w:space="0"/>
              <w:left w:val="nil"/>
              <w:bottom w:val="single" w:color="auto" w:sz="8" w:space="0"/>
              <w:right w:val="single" w:color="auto" w:sz="8" w:space="0"/>
            </w:tcBorders>
            <w:vAlign w:val="center"/>
          </w:tcPr>
          <w:p w14:paraId="73CB6CE5">
            <w:pPr>
              <w:keepNext w:val="0"/>
              <w:keepLines w:val="0"/>
              <w:widowControl/>
              <w:suppressLineNumbers w:val="0"/>
              <w:spacing w:before="0" w:beforeAutospacing="0" w:after="0" w:afterAutospacing="0"/>
              <w:ind w:left="0" w:right="0"/>
              <w:jc w:val="center"/>
              <w:rPr>
                <w:rFonts w:hint="default" w:ascii="宋体" w:hAnsi="宋体" w:cs="宋体"/>
                <w:color w:val="000000"/>
                <w:kern w:val="0"/>
                <w:sz w:val="21"/>
                <w:szCs w:val="21"/>
              </w:rPr>
            </w:pPr>
          </w:p>
        </w:tc>
      </w:tr>
      <w:tr w14:paraId="2FF8B453">
        <w:tblPrEx>
          <w:tblCellMar>
            <w:top w:w="0" w:type="dxa"/>
            <w:left w:w="108" w:type="dxa"/>
            <w:bottom w:w="0" w:type="dxa"/>
            <w:right w:w="108" w:type="dxa"/>
          </w:tblCellMar>
        </w:tblPrEx>
        <w:trPr>
          <w:trHeight w:val="270" w:hRule="atLeast"/>
        </w:trPr>
        <w:tc>
          <w:tcPr>
            <w:tcW w:w="10346" w:type="dxa"/>
            <w:gridSpan w:val="11"/>
            <w:tcBorders>
              <w:top w:val="nil"/>
              <w:left w:val="single" w:color="auto" w:sz="8" w:space="0"/>
              <w:bottom w:val="single" w:color="auto" w:sz="4" w:space="0"/>
              <w:right w:val="single" w:color="000000" w:sz="8" w:space="0"/>
            </w:tcBorders>
            <w:vAlign w:val="center"/>
          </w:tcPr>
          <w:p w14:paraId="251F485E">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b/>
                <w:color w:val="000000"/>
                <w:kern w:val="0"/>
                <w:sz w:val="21"/>
                <w:szCs w:val="21"/>
              </w:rPr>
            </w:pPr>
            <w:r>
              <w:rPr>
                <w:rFonts w:hint="eastAsia" w:cs="宋体" w:asciiTheme="minorEastAsia" w:hAnsiTheme="minorEastAsia" w:eastAsiaTheme="minorEastAsia"/>
                <w:b/>
                <w:color w:val="000000"/>
                <w:kern w:val="0"/>
                <w:sz w:val="21"/>
                <w:szCs w:val="21"/>
              </w:rPr>
              <w:t>一</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b/>
                <w:color w:val="000000"/>
                <w:kern w:val="0"/>
                <w:sz w:val="21"/>
                <w:szCs w:val="21"/>
              </w:rPr>
              <w:t>治理工艺流程：</w:t>
            </w:r>
          </w:p>
          <w:p w14:paraId="108427B7">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default" w:cs="宋体" w:asciiTheme="minorEastAsia" w:hAnsiTheme="minorEastAsia" w:eastAsiaTheme="minorEastAsia"/>
                <w:b/>
                <w:color w:val="000000"/>
                <w:kern w:val="0"/>
                <w:sz w:val="21"/>
                <w:szCs w:val="21"/>
              </w:rPr>
              <w:t>1</w:t>
            </w:r>
            <w:r>
              <w:rPr>
                <w:rFonts w:hint="eastAsia" w:cs="宋体" w:asciiTheme="minorEastAsia" w:hAnsiTheme="minorEastAsia" w:eastAsiaTheme="minorEastAsia"/>
                <w:b/>
                <w:color w:val="000000"/>
                <w:kern w:val="0"/>
                <w:sz w:val="21"/>
                <w:szCs w:val="21"/>
              </w:rPr>
              <w:t>、板材降解</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color w:val="000000"/>
                <w:kern w:val="0"/>
                <w:sz w:val="21"/>
                <w:szCs w:val="21"/>
              </w:rPr>
              <w:t>对污染源进行专项治理。对所有柜子内部采用甲醛净和苯醛清除剂板材专用进行针对性的治理，使污染源的浓度进一步降低；</w:t>
            </w:r>
          </w:p>
          <w:p w14:paraId="12E56EB2">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b/>
                <w:color w:val="000000"/>
                <w:kern w:val="0"/>
                <w:sz w:val="21"/>
                <w:szCs w:val="21"/>
                <w:lang w:val="en-US" w:eastAsia="zh-CN"/>
              </w:rPr>
              <w:t>2</w:t>
            </w:r>
            <w:r>
              <w:rPr>
                <w:rFonts w:hint="eastAsia" w:cs="宋体" w:asciiTheme="minorEastAsia" w:hAnsiTheme="minorEastAsia" w:eastAsiaTheme="minorEastAsia"/>
                <w:b/>
                <w:color w:val="000000"/>
                <w:kern w:val="0"/>
                <w:sz w:val="21"/>
                <w:szCs w:val="21"/>
              </w:rPr>
              <w:t>、墙面降解</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color w:val="000000"/>
                <w:kern w:val="0"/>
                <w:sz w:val="21"/>
                <w:szCs w:val="21"/>
              </w:rPr>
              <w:t>墙面</w:t>
            </w:r>
            <w:r>
              <w:rPr>
                <w:rFonts w:hint="default" w:cs="宋体" w:asciiTheme="minorEastAsia" w:hAnsiTheme="minorEastAsia" w:eastAsiaTheme="minorEastAsia"/>
                <w:color w:val="000000"/>
                <w:kern w:val="0"/>
                <w:sz w:val="21"/>
                <w:szCs w:val="21"/>
              </w:rPr>
              <w:t>采用</w:t>
            </w:r>
            <w:r>
              <w:rPr>
                <w:rFonts w:hint="eastAsia" w:cs="宋体" w:asciiTheme="minorEastAsia" w:hAnsiTheme="minorEastAsia" w:eastAsiaTheme="minorEastAsia"/>
                <w:color w:val="000000"/>
                <w:kern w:val="0"/>
                <w:sz w:val="21"/>
                <w:szCs w:val="21"/>
              </w:rPr>
              <w:t>甲醛净墙面</w:t>
            </w:r>
            <w:r>
              <w:rPr>
                <w:rFonts w:hint="default" w:cs="宋体" w:asciiTheme="minorEastAsia" w:hAnsiTheme="minorEastAsia" w:eastAsiaTheme="minorEastAsia"/>
                <w:color w:val="000000"/>
                <w:kern w:val="0"/>
                <w:sz w:val="21"/>
                <w:szCs w:val="21"/>
              </w:rPr>
              <w:t>专用</w:t>
            </w:r>
            <w:r>
              <w:rPr>
                <w:rFonts w:hint="eastAsia" w:cs="宋体" w:asciiTheme="minorEastAsia" w:hAnsiTheme="minorEastAsia" w:eastAsiaTheme="minorEastAsia"/>
                <w:color w:val="000000"/>
                <w:kern w:val="0"/>
                <w:sz w:val="21"/>
                <w:szCs w:val="21"/>
              </w:rPr>
              <w:t>材料</w:t>
            </w:r>
            <w:r>
              <w:rPr>
                <w:rFonts w:hint="default" w:cs="宋体" w:asciiTheme="minorEastAsia" w:hAnsiTheme="minorEastAsia" w:eastAsiaTheme="minorEastAsia"/>
                <w:color w:val="000000"/>
                <w:kern w:val="0"/>
                <w:sz w:val="21"/>
                <w:szCs w:val="21"/>
              </w:rPr>
              <w:t>喷涂</w:t>
            </w:r>
            <w:r>
              <w:rPr>
                <w:rFonts w:hint="eastAsia" w:cs="宋体" w:asciiTheme="minorEastAsia" w:hAnsiTheme="minorEastAsia" w:eastAsiaTheme="minorEastAsia"/>
                <w:color w:val="000000"/>
                <w:kern w:val="0"/>
                <w:sz w:val="21"/>
                <w:szCs w:val="21"/>
              </w:rPr>
              <w:t>，使污染源的浓度进一步降低；</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b/>
                <w:color w:val="000000"/>
                <w:kern w:val="0"/>
                <w:sz w:val="21"/>
                <w:szCs w:val="21"/>
                <w:lang w:val="en-US" w:eastAsia="zh-CN"/>
              </w:rPr>
              <w:t>3</w:t>
            </w:r>
            <w:r>
              <w:rPr>
                <w:rFonts w:hint="default" w:cs="宋体" w:asciiTheme="minorEastAsia" w:hAnsiTheme="minorEastAsia" w:eastAsiaTheme="minorEastAsia"/>
                <w:b/>
                <w:color w:val="000000"/>
                <w:kern w:val="0"/>
                <w:sz w:val="21"/>
                <w:szCs w:val="21"/>
              </w:rPr>
              <w:t>、异味处理：</w:t>
            </w:r>
            <w:r>
              <w:rPr>
                <w:rFonts w:hint="default" w:cs="宋体" w:asciiTheme="minorEastAsia" w:hAnsiTheme="minorEastAsia" w:eastAsiaTheme="minorEastAsia"/>
                <w:color w:val="000000"/>
                <w:kern w:val="0"/>
                <w:sz w:val="21"/>
                <w:szCs w:val="21"/>
              </w:rPr>
              <w:t>对软装材料进行异味净喷涂，快速分解室内材料异味；</w:t>
            </w:r>
          </w:p>
          <w:p w14:paraId="6ED81837">
            <w:pPr>
              <w:keepNext w:val="0"/>
              <w:keepLines w:val="0"/>
              <w:widowControl/>
              <w:suppressLineNumbers w:val="0"/>
              <w:spacing w:before="0" w:beforeAutospacing="0" w:after="0" w:afterAutospacing="0"/>
              <w:ind w:left="0" w:right="0"/>
              <w:jc w:val="both"/>
              <w:rPr>
                <w:rFonts w:hint="eastAsia" w:cs="宋体" w:asciiTheme="minorEastAsia" w:hAnsiTheme="minorEastAsia" w:eastAsiaTheme="minorEastAsia"/>
                <w:color w:val="000000"/>
                <w:kern w:val="0"/>
                <w:sz w:val="21"/>
                <w:szCs w:val="21"/>
              </w:rPr>
            </w:pPr>
            <w:r>
              <w:rPr>
                <w:rFonts w:hint="eastAsia" w:cs="宋体" w:asciiTheme="minorEastAsia" w:hAnsiTheme="minorEastAsia" w:eastAsiaTheme="minorEastAsia"/>
                <w:b/>
                <w:color w:val="000000"/>
                <w:kern w:val="0"/>
                <w:sz w:val="21"/>
                <w:szCs w:val="21"/>
                <w:lang w:val="en-US" w:eastAsia="zh-CN"/>
              </w:rPr>
              <w:t>4</w:t>
            </w:r>
            <w:r>
              <w:rPr>
                <w:rFonts w:hint="eastAsia" w:cs="宋体" w:asciiTheme="minorEastAsia" w:hAnsiTheme="minorEastAsia" w:eastAsiaTheme="minorEastAsia"/>
                <w:b/>
                <w:color w:val="000000"/>
                <w:kern w:val="0"/>
                <w:sz w:val="21"/>
                <w:szCs w:val="21"/>
              </w:rPr>
              <w:t>、光触媒喷涂</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color w:val="000000"/>
                <w:kern w:val="0"/>
                <w:sz w:val="21"/>
                <w:szCs w:val="21"/>
              </w:rPr>
              <w:t>在柜内擦拭过程中同步对墙面、天花、地面、家具等部位喷涂纳钛金装光触媒。污染源中残余的有害气体会释放到空间，与墙面、天花、地毯、家具等部位附着的纳钛金装光触媒接触从而被彻底降解；</w:t>
            </w:r>
          </w:p>
          <w:p w14:paraId="1F9FCC9A">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lang w:val="en-US" w:eastAsia="zh-CN"/>
              </w:rPr>
              <w:t>5</w:t>
            </w:r>
            <w:r>
              <w:rPr>
                <w:rFonts w:hint="eastAsia" w:cs="宋体" w:asciiTheme="minorEastAsia" w:hAnsiTheme="minorEastAsia" w:eastAsiaTheme="minorEastAsia"/>
                <w:b/>
                <w:color w:val="000000"/>
                <w:kern w:val="0"/>
                <w:sz w:val="21"/>
                <w:szCs w:val="21"/>
              </w:rPr>
              <w:t>、纳米除味</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color w:val="000000"/>
                <w:kern w:val="0"/>
                <w:sz w:val="21"/>
                <w:szCs w:val="21"/>
              </w:rPr>
              <w:t>对家具进行喷涂纳米家具除味剂，让家具异味大量降低；</w:t>
            </w:r>
          </w:p>
          <w:p w14:paraId="17342DBF">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b/>
                <w:color w:val="000000"/>
                <w:kern w:val="0"/>
                <w:sz w:val="21"/>
                <w:szCs w:val="21"/>
              </w:rPr>
            </w:pPr>
            <w:r>
              <w:rPr>
                <w:rFonts w:hint="eastAsia" w:cs="宋体" w:asciiTheme="minorEastAsia" w:hAnsiTheme="minorEastAsia" w:eastAsiaTheme="minorEastAsia"/>
                <w:b/>
                <w:color w:val="000000"/>
                <w:kern w:val="0"/>
                <w:sz w:val="21"/>
                <w:szCs w:val="21"/>
                <w:lang w:val="en-US" w:eastAsia="zh-CN"/>
              </w:rPr>
              <w:t>6</w:t>
            </w:r>
            <w:r>
              <w:rPr>
                <w:rFonts w:hint="eastAsia" w:cs="宋体" w:asciiTheme="minorEastAsia" w:hAnsiTheme="minorEastAsia" w:eastAsiaTheme="minorEastAsia"/>
                <w:b/>
                <w:color w:val="000000"/>
                <w:kern w:val="0"/>
                <w:sz w:val="21"/>
                <w:szCs w:val="21"/>
              </w:rPr>
              <w:t>、高效</w:t>
            </w:r>
            <w:r>
              <w:rPr>
                <w:rFonts w:hint="default" w:cs="宋体" w:asciiTheme="minorEastAsia" w:hAnsiTheme="minorEastAsia" w:eastAsiaTheme="minorEastAsia"/>
                <w:b/>
                <w:color w:val="000000"/>
                <w:kern w:val="0"/>
                <w:sz w:val="21"/>
                <w:szCs w:val="21"/>
              </w:rPr>
              <w:t>除味：</w:t>
            </w:r>
            <w:r>
              <w:rPr>
                <w:rFonts w:hint="eastAsia" w:cs="宋体" w:asciiTheme="minorEastAsia" w:hAnsiTheme="minorEastAsia" w:eastAsiaTheme="minorEastAsia"/>
                <w:color w:val="000000"/>
                <w:kern w:val="0"/>
                <w:sz w:val="21"/>
                <w:szCs w:val="21"/>
              </w:rPr>
              <w:t>采用</w:t>
            </w:r>
            <w:r>
              <w:rPr>
                <w:rFonts w:hint="default" w:cs="宋体" w:asciiTheme="minorEastAsia" w:hAnsiTheme="minorEastAsia" w:eastAsiaTheme="minorEastAsia"/>
                <w:color w:val="000000"/>
                <w:kern w:val="0"/>
                <w:sz w:val="21"/>
                <w:szCs w:val="21"/>
              </w:rPr>
              <w:t>空气触媒</w:t>
            </w:r>
            <w:r>
              <w:rPr>
                <w:rFonts w:hint="eastAsia" w:cs="宋体" w:asciiTheme="minorEastAsia" w:hAnsiTheme="minorEastAsia" w:eastAsiaTheme="minorEastAsia"/>
                <w:color w:val="000000"/>
                <w:kern w:val="0"/>
                <w:sz w:val="21"/>
                <w:szCs w:val="21"/>
              </w:rPr>
              <w:t>对</w:t>
            </w:r>
            <w:r>
              <w:rPr>
                <w:rFonts w:hint="default" w:cs="宋体" w:asciiTheme="minorEastAsia" w:hAnsiTheme="minorEastAsia" w:eastAsiaTheme="minorEastAsia"/>
                <w:color w:val="000000"/>
                <w:kern w:val="0"/>
                <w:sz w:val="21"/>
                <w:szCs w:val="21"/>
              </w:rPr>
              <w:t>处理后的大空间残留味道进行最后处理</w:t>
            </w:r>
            <w:r>
              <w:rPr>
                <w:rFonts w:hint="eastAsia" w:cs="宋体" w:asciiTheme="minorEastAsia" w:hAnsiTheme="minorEastAsia" w:eastAsiaTheme="minorEastAsia"/>
                <w:color w:val="000000"/>
                <w:kern w:val="0"/>
                <w:sz w:val="21"/>
                <w:szCs w:val="21"/>
              </w:rPr>
              <w:t>；</w:t>
            </w:r>
            <w:r>
              <w:rPr>
                <w:rFonts w:hint="eastAsia" w:cs="宋体" w:asciiTheme="minorEastAsia" w:hAnsiTheme="minorEastAsia" w:eastAsiaTheme="minorEastAsia"/>
                <w:color w:val="000000"/>
                <w:kern w:val="0"/>
                <w:sz w:val="21"/>
                <w:szCs w:val="21"/>
              </w:rPr>
              <w:br w:type="textWrapping"/>
            </w:r>
            <w:r>
              <w:rPr>
                <w:rFonts w:hint="eastAsia" w:cs="宋体" w:asciiTheme="minorEastAsia" w:hAnsiTheme="minorEastAsia" w:eastAsiaTheme="minorEastAsia"/>
                <w:color w:val="000000"/>
                <w:kern w:val="0"/>
                <w:sz w:val="21"/>
                <w:szCs w:val="21"/>
                <w:lang w:val="en-US" w:eastAsia="zh-CN"/>
              </w:rPr>
              <w:t>7</w:t>
            </w:r>
            <w:r>
              <w:rPr>
                <w:rFonts w:hint="eastAsia" w:cs="宋体" w:asciiTheme="minorEastAsia" w:hAnsiTheme="minorEastAsia" w:eastAsiaTheme="minorEastAsia"/>
                <w:b/>
                <w:color w:val="000000"/>
                <w:kern w:val="0"/>
                <w:sz w:val="21"/>
                <w:szCs w:val="21"/>
              </w:rPr>
              <w:t>、针对性治理3种污染物：针对性治理</w:t>
            </w:r>
            <w:r>
              <w:rPr>
                <w:rFonts w:hint="eastAsia" w:cs="宋体" w:asciiTheme="minorEastAsia" w:hAnsiTheme="minorEastAsia" w:eastAsiaTheme="minorEastAsia"/>
                <w:b/>
                <w:color w:val="000000"/>
                <w:kern w:val="0"/>
                <w:sz w:val="21"/>
                <w:szCs w:val="21"/>
                <w:u w:val="single"/>
              </w:rPr>
              <w:t>甲醛、苯系物和TVOC（有机性挥发物的总称</w:t>
            </w:r>
            <w:r>
              <w:rPr>
                <w:rFonts w:hint="eastAsia" w:cs="宋体" w:asciiTheme="minorEastAsia" w:hAnsiTheme="minorEastAsia" w:eastAsiaTheme="minorEastAsia"/>
                <w:b/>
                <w:color w:val="000000"/>
                <w:kern w:val="0"/>
                <w:sz w:val="21"/>
                <w:szCs w:val="21"/>
              </w:rPr>
              <w:t>）并且无反弹性</w:t>
            </w:r>
          </w:p>
          <w:p w14:paraId="1EFF0AA6">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b/>
                <w:color w:val="000000"/>
                <w:kern w:val="0"/>
                <w:sz w:val="21"/>
                <w:szCs w:val="21"/>
                <w:lang w:val="en-US" w:eastAsia="zh-CN"/>
              </w:rPr>
              <w:t>8</w:t>
            </w:r>
            <w:r>
              <w:rPr>
                <w:rFonts w:hint="eastAsia" w:cs="宋体" w:asciiTheme="minorEastAsia" w:hAnsiTheme="minorEastAsia" w:eastAsiaTheme="minorEastAsia"/>
                <w:b/>
                <w:color w:val="000000"/>
                <w:kern w:val="0"/>
                <w:sz w:val="21"/>
                <w:szCs w:val="21"/>
              </w:rPr>
              <w:t>、治理</w:t>
            </w:r>
            <w:r>
              <w:rPr>
                <w:rFonts w:hint="default" w:cs="宋体" w:asciiTheme="minorEastAsia" w:hAnsiTheme="minorEastAsia" w:eastAsiaTheme="minorEastAsia"/>
                <w:b/>
                <w:color w:val="000000"/>
                <w:kern w:val="0"/>
                <w:sz w:val="21"/>
                <w:szCs w:val="21"/>
              </w:rPr>
              <w:t>复检：</w:t>
            </w:r>
            <w:r>
              <w:rPr>
                <w:rFonts w:hint="eastAsia" w:cs="宋体" w:asciiTheme="minorEastAsia" w:hAnsiTheme="minorEastAsia"/>
                <w:b/>
                <w:color w:val="000000"/>
                <w:kern w:val="0"/>
                <w:sz w:val="21"/>
                <w:szCs w:val="21"/>
                <w:lang w:eastAsia="zh-CN"/>
              </w:rPr>
              <w:t>除醛完成后第</w:t>
            </w:r>
            <w:r>
              <w:rPr>
                <w:rFonts w:hint="eastAsia" w:cs="宋体" w:asciiTheme="minorEastAsia" w:hAnsiTheme="minorEastAsia"/>
                <w:color w:val="000000"/>
                <w:kern w:val="0"/>
                <w:sz w:val="21"/>
                <w:szCs w:val="21"/>
                <w:lang w:val="en-US" w:eastAsia="zh-CN"/>
              </w:rPr>
              <w:t>15</w:t>
            </w:r>
            <w:r>
              <w:rPr>
                <w:rFonts w:hint="eastAsia" w:cs="宋体" w:asciiTheme="minorEastAsia" w:hAnsiTheme="minorEastAsia" w:eastAsiaTheme="minorEastAsia"/>
                <w:color w:val="000000"/>
                <w:kern w:val="0"/>
                <w:sz w:val="21"/>
                <w:szCs w:val="21"/>
              </w:rPr>
              <w:t>天对室内各位置进行复检</w:t>
            </w:r>
            <w:r>
              <w:rPr>
                <w:rFonts w:hint="eastAsia" w:cs="宋体" w:asciiTheme="minorEastAsia" w:hAnsiTheme="minorEastAsia" w:eastAsiaTheme="minorEastAsia"/>
                <w:color w:val="000000"/>
                <w:kern w:val="0"/>
                <w:sz w:val="21"/>
                <w:szCs w:val="21"/>
                <w:lang w:val="en-US" w:eastAsia="zh-CN"/>
              </w:rPr>
              <w:t>复检达到国家安全标准后交付</w:t>
            </w:r>
            <w:r>
              <w:rPr>
                <w:rFonts w:hint="eastAsia" w:cs="宋体" w:asciiTheme="minorEastAsia" w:hAnsiTheme="minorEastAsia" w:eastAsiaTheme="minorEastAsia"/>
                <w:color w:val="000000"/>
                <w:kern w:val="0"/>
                <w:sz w:val="21"/>
                <w:szCs w:val="21"/>
              </w:rPr>
              <w:t>；</w:t>
            </w:r>
          </w:p>
          <w:p w14:paraId="2C5099EB">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b/>
                <w:color w:val="000000"/>
                <w:kern w:val="0"/>
                <w:sz w:val="21"/>
                <w:szCs w:val="21"/>
              </w:rPr>
            </w:pPr>
            <w:r>
              <w:rPr>
                <w:rFonts w:hint="eastAsia" w:cs="宋体" w:asciiTheme="minorEastAsia" w:hAnsiTheme="minorEastAsia" w:eastAsiaTheme="minorEastAsia"/>
                <w:b/>
                <w:color w:val="000000"/>
                <w:kern w:val="0"/>
                <w:sz w:val="21"/>
                <w:szCs w:val="21"/>
              </w:rPr>
              <w:t>二</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b/>
                <w:color w:val="000000"/>
                <w:kern w:val="0"/>
                <w:sz w:val="21"/>
                <w:szCs w:val="21"/>
              </w:rPr>
              <w:t>工程标准：</w:t>
            </w:r>
          </w:p>
          <w:p w14:paraId="53A42A90">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1、空气质量达到GB50325-2010国家室内空气质量标准</w:t>
            </w:r>
            <w:r>
              <w:rPr>
                <w:rFonts w:hint="eastAsia" w:cs="宋体" w:asciiTheme="minorEastAsia" w:hAnsiTheme="minorEastAsia" w:eastAsiaTheme="minorEastAsia"/>
                <w:b/>
                <w:kern w:val="0"/>
                <w:sz w:val="21"/>
                <w:szCs w:val="21"/>
                <w:u w:val="single"/>
              </w:rPr>
              <w:t>一类标准</w:t>
            </w:r>
            <w:r>
              <w:rPr>
                <w:rFonts w:hint="eastAsia" w:cs="宋体" w:asciiTheme="minorEastAsia" w:hAnsiTheme="minorEastAsia" w:eastAsiaTheme="minorEastAsia"/>
                <w:color w:val="000000"/>
                <w:kern w:val="0"/>
                <w:sz w:val="21"/>
                <w:szCs w:val="21"/>
              </w:rPr>
              <w:t>；</w:t>
            </w:r>
          </w:p>
          <w:p w14:paraId="6120000F">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2、室内装修异味大部分降解；</w:t>
            </w:r>
          </w:p>
          <w:p w14:paraId="11A9D9DB">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3、抗菌：99.99%；防霉：达到0级；</w:t>
            </w:r>
          </w:p>
          <w:p w14:paraId="7CDD152E">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4、释放负离子量；</w:t>
            </w:r>
          </w:p>
          <w:p w14:paraId="3E4CF376">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5、无毒无害；</w:t>
            </w:r>
          </w:p>
          <w:p w14:paraId="5154D856">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6、不磨损有效10年以上。</w:t>
            </w:r>
          </w:p>
          <w:p w14:paraId="7901C33F">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b/>
                <w:color w:val="000000"/>
                <w:kern w:val="0"/>
                <w:sz w:val="21"/>
                <w:szCs w:val="21"/>
              </w:rPr>
            </w:pPr>
            <w:r>
              <w:rPr>
                <w:rFonts w:hint="eastAsia" w:cs="宋体" w:asciiTheme="minorEastAsia" w:hAnsiTheme="minorEastAsia" w:eastAsiaTheme="minorEastAsia"/>
                <w:b/>
                <w:color w:val="000000"/>
                <w:kern w:val="0"/>
                <w:sz w:val="21"/>
                <w:szCs w:val="21"/>
              </w:rPr>
              <w:t>三</w:t>
            </w:r>
            <w:r>
              <w:rPr>
                <w:rFonts w:hint="default" w:cs="宋体" w:asciiTheme="minorEastAsia" w:hAnsiTheme="minorEastAsia" w:eastAsiaTheme="minorEastAsia"/>
                <w:b/>
                <w:color w:val="000000"/>
                <w:kern w:val="0"/>
                <w:sz w:val="21"/>
                <w:szCs w:val="21"/>
              </w:rPr>
              <w:t>、</w:t>
            </w:r>
            <w:r>
              <w:rPr>
                <w:rFonts w:hint="eastAsia" w:cs="宋体" w:asciiTheme="minorEastAsia" w:hAnsiTheme="minorEastAsia" w:eastAsiaTheme="minorEastAsia"/>
                <w:b/>
                <w:color w:val="000000"/>
                <w:kern w:val="0"/>
                <w:sz w:val="21"/>
                <w:szCs w:val="21"/>
              </w:rPr>
              <w:t>工程赠送：</w:t>
            </w:r>
          </w:p>
          <w:p w14:paraId="0356F3F5">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eastAsia" w:cs="宋体" w:asciiTheme="minorEastAsia" w:hAnsiTheme="minorEastAsia" w:eastAsiaTheme="minorEastAsia"/>
                <w:color w:val="000000"/>
                <w:kern w:val="0"/>
                <w:sz w:val="21"/>
                <w:szCs w:val="21"/>
              </w:rPr>
              <w:t>1、赠送室内治理工程前、后室内空气检测</w:t>
            </w:r>
          </w:p>
          <w:p w14:paraId="2E82BFE9">
            <w:pPr>
              <w:keepNext w:val="0"/>
              <w:keepLines w:val="0"/>
              <w:widowControl/>
              <w:suppressLineNumbers w:val="0"/>
              <w:spacing w:before="0" w:beforeAutospacing="0" w:after="0" w:afterAutospacing="0"/>
              <w:ind w:left="0" w:right="0"/>
              <w:jc w:val="both"/>
              <w:rPr>
                <w:rFonts w:hint="default" w:cs="宋体" w:asciiTheme="minorEastAsia" w:hAnsiTheme="minorEastAsia" w:eastAsiaTheme="minorEastAsia"/>
                <w:color w:val="000000"/>
                <w:kern w:val="0"/>
                <w:sz w:val="21"/>
                <w:szCs w:val="21"/>
              </w:rPr>
            </w:pPr>
            <w:r>
              <w:rPr>
                <w:rFonts w:hint="default" w:cs="宋体" w:asciiTheme="minorEastAsia" w:hAnsiTheme="minorEastAsia" w:eastAsiaTheme="minorEastAsia"/>
                <w:color w:val="000000"/>
                <w:kern w:val="0"/>
                <w:sz w:val="21"/>
                <w:szCs w:val="21"/>
              </w:rPr>
              <w:t>2</w:t>
            </w:r>
            <w:r>
              <w:rPr>
                <w:rFonts w:hint="eastAsia" w:cs="宋体" w:asciiTheme="minorEastAsia" w:hAnsiTheme="minorEastAsia" w:eastAsiaTheme="minorEastAsia"/>
                <w:color w:val="000000"/>
                <w:kern w:val="0"/>
                <w:sz w:val="21"/>
                <w:szCs w:val="21"/>
              </w:rPr>
              <w:t>、</w:t>
            </w:r>
            <w:r>
              <w:rPr>
                <w:rFonts w:hint="eastAsia" w:cs="宋体" w:asciiTheme="minorEastAsia" w:hAnsiTheme="minorEastAsia" w:eastAsiaTheme="minorEastAsia"/>
                <w:b/>
                <w:color w:val="000000"/>
                <w:kern w:val="0"/>
                <w:sz w:val="21"/>
                <w:szCs w:val="21"/>
                <w:u w:val="single"/>
              </w:rPr>
              <w:t>国家CMA检测中心复检（复测3项污染物），出具含法律效力的国家检测报告；</w:t>
            </w:r>
          </w:p>
          <w:p w14:paraId="6CE01525">
            <w:pPr>
              <w:keepNext w:val="0"/>
              <w:keepLines w:val="0"/>
              <w:widowControl/>
              <w:suppressLineNumbers w:val="0"/>
              <w:spacing w:before="0" w:beforeAutospacing="0" w:after="0" w:afterAutospacing="0"/>
              <w:ind w:left="0" w:right="0"/>
              <w:jc w:val="both"/>
              <w:rPr>
                <w:rFonts w:hint="default" w:ascii="宋体" w:hAnsi="宋体" w:cs="宋体"/>
                <w:color w:val="000000"/>
                <w:kern w:val="0"/>
                <w:sz w:val="18"/>
                <w:szCs w:val="15"/>
              </w:rPr>
            </w:pPr>
            <w:r>
              <w:rPr>
                <w:rFonts w:hint="eastAsia" w:cs="宋体" w:asciiTheme="minorEastAsia" w:hAnsiTheme="minorEastAsia" w:eastAsiaTheme="minorEastAsia"/>
                <w:color w:val="000000"/>
                <w:kern w:val="0"/>
                <w:sz w:val="21"/>
                <w:szCs w:val="21"/>
              </w:rPr>
              <w:t>本产品</w:t>
            </w:r>
            <w:r>
              <w:rPr>
                <w:rFonts w:hint="default" w:cs="宋体" w:asciiTheme="minorEastAsia" w:hAnsiTheme="minorEastAsia" w:eastAsiaTheme="minorEastAsia"/>
                <w:color w:val="000000"/>
                <w:kern w:val="0"/>
                <w:sz w:val="21"/>
                <w:szCs w:val="21"/>
              </w:rPr>
              <w:t>质保期为</w:t>
            </w:r>
            <w:r>
              <w:rPr>
                <w:rFonts w:hint="eastAsia" w:cs="宋体" w:asciiTheme="minorEastAsia" w:hAnsiTheme="minorEastAsia"/>
                <w:color w:val="000000"/>
                <w:kern w:val="0"/>
                <w:sz w:val="21"/>
                <w:szCs w:val="21"/>
                <w:lang w:val="en-US" w:eastAsia="zh-CN"/>
              </w:rPr>
              <w:t>5</w:t>
            </w:r>
            <w:r>
              <w:rPr>
                <w:rFonts w:hint="default" w:cs="宋体" w:asciiTheme="minorEastAsia" w:hAnsiTheme="minorEastAsia" w:eastAsiaTheme="minorEastAsia"/>
                <w:color w:val="000000"/>
                <w:kern w:val="0"/>
                <w:sz w:val="21"/>
                <w:szCs w:val="21"/>
              </w:rPr>
              <w:t>年</w:t>
            </w:r>
            <w:r>
              <w:rPr>
                <w:rFonts w:hint="eastAsia" w:cs="宋体" w:asciiTheme="minorEastAsia" w:hAnsiTheme="minorEastAsia" w:eastAsiaTheme="minorEastAsia"/>
                <w:color w:val="000000"/>
                <w:kern w:val="0"/>
                <w:sz w:val="21"/>
                <w:szCs w:val="21"/>
              </w:rPr>
              <w:t>。</w:t>
            </w:r>
          </w:p>
        </w:tc>
      </w:tr>
    </w:tbl>
    <w:p w14:paraId="4FCEA68C">
      <w:pPr>
        <w:snapToGrid w:val="0"/>
        <w:spacing w:line="360" w:lineRule="auto"/>
        <w:rPr>
          <w:rFonts w:hint="eastAsia" w:ascii="仿宋_GB2312" w:hAnsi="仿宋_GB2312" w:eastAsia="仿宋_GB2312" w:cs="仿宋_GB2312"/>
          <w:bCs/>
          <w:color w:val="000000"/>
          <w:kern w:val="10"/>
          <w:sz w:val="32"/>
          <w:szCs w:val="32"/>
          <w:lang w:val="en-US" w:eastAsia="zh-CN"/>
        </w:rPr>
      </w:pPr>
    </w:p>
    <w:p w14:paraId="3F743DF7">
      <w:pPr>
        <w:snapToGrid w:val="0"/>
        <w:spacing w:line="360" w:lineRule="auto"/>
        <w:rPr>
          <w:rFonts w:hint="eastAsia" w:ascii="仿宋_GB2312" w:hAnsi="仿宋_GB2312" w:eastAsia="仿宋_GB2312" w:cs="仿宋_GB2312"/>
          <w:bCs/>
          <w:color w:val="000000"/>
          <w:kern w:val="10"/>
          <w:sz w:val="28"/>
          <w:szCs w:val="28"/>
        </w:rPr>
      </w:pPr>
    </w:p>
    <w:p w14:paraId="3D904964">
      <w:pPr>
        <w:widowControl w:val="0"/>
        <w:wordWrap w:val="0"/>
        <w:autoSpaceDE w:val="0"/>
        <w:autoSpaceDN w:val="0"/>
        <w:adjustRightInd w:val="0"/>
        <w:spacing w:line="360" w:lineRule="auto"/>
        <w:ind w:firstLine="3200" w:firstLineChars="1000"/>
        <w:jc w:val="both"/>
        <w:rPr>
          <w:rFonts w:hint="eastAsia" w:ascii="仿宋_GB2312" w:hAnsi="仿宋_GB2312" w:eastAsia="仿宋_GB2312" w:cs="仿宋_GB2312"/>
          <w:bCs/>
          <w:color w:val="000000"/>
          <w:kern w:val="10"/>
          <w:sz w:val="32"/>
          <w:szCs w:val="32"/>
          <w:lang w:val="en-US" w:eastAsia="zh-CN" w:bidi="ar-SA"/>
        </w:rPr>
      </w:pPr>
      <w:r>
        <w:rPr>
          <w:rFonts w:hint="eastAsia" w:ascii="仿宋_GB2312" w:hAnsi="仿宋_GB2312" w:eastAsia="仿宋_GB2312" w:cs="仿宋_GB2312"/>
          <w:bCs/>
          <w:color w:val="000000"/>
          <w:kern w:val="10"/>
          <w:sz w:val="32"/>
          <w:szCs w:val="32"/>
          <w:lang w:val="en-US" w:eastAsia="zh-CN" w:bidi="ar-SA"/>
        </w:rPr>
        <w:t xml:space="preserve">供应商名称（盖章）：         </w:t>
      </w:r>
    </w:p>
    <w:p w14:paraId="10B9D2FF">
      <w:pPr>
        <w:widowControl w:val="0"/>
        <w:wordWrap w:val="0"/>
        <w:autoSpaceDE w:val="0"/>
        <w:autoSpaceDN w:val="0"/>
        <w:adjustRightInd w:val="0"/>
        <w:spacing w:line="360" w:lineRule="auto"/>
        <w:jc w:val="both"/>
        <w:rPr>
          <w:rFonts w:hint="eastAsia" w:ascii="仿宋" w:hAnsi="仿宋" w:eastAsia="仿宋" w:cs="仿宋"/>
          <w:sz w:val="32"/>
          <w:szCs w:val="32"/>
        </w:rPr>
      </w:pPr>
      <w:r>
        <w:rPr>
          <w:rFonts w:hint="eastAsia" w:ascii="仿宋_GB2312" w:hAnsi="仿宋_GB2312" w:eastAsia="仿宋_GB2312" w:cs="仿宋_GB2312"/>
          <w:bCs/>
          <w:color w:val="000000"/>
          <w:kern w:val="10"/>
          <w:sz w:val="32"/>
          <w:szCs w:val="32"/>
          <w:lang w:val="en-US" w:eastAsia="zh-CN" w:bidi="ar-SA"/>
        </w:rPr>
        <w:t xml:space="preserve">                    日期：    年    月    日</w:t>
      </w:r>
    </w:p>
    <w:p w14:paraId="2477564B"/>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ED833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F5E0D25">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F5E0D25">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B386B"/>
    <w:rsid w:val="32EB386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2026-11-05T09:24:00Z</dcterms:created>
  <dc:creator>Lenovo</dc:creator>
  <cp:lastModifiedBy>Lenovo</cp:lastModifiedBy>
  <dcterms:modified xsi:type="dcterms:W3CDTF">2026-11-05T09:25:20Z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F45BCB563AF845F78EF9F8CA196BD35B_11</vt:lpwstr>
  </property>
  <property fmtid="{D5CDD505-2E9C-101B-9397-08002B2CF9AE}" pid="4" name="KSOTemplateDocerSaveRecord">
    <vt:lpwstr>eyJoZGlkIjoiNDJmMGM1NDg0Mjk4ZjQwZjc4NmE1NzAxN2YyYzA2NGUiLCJ1c2VySWQiOiIxNTk1MDQ5MjkwIn0=</vt:lpwstr>
  </property>
</Properties>
</file>